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492A" w:rsidRPr="008343E9" w:rsidRDefault="00AD3BED" w:rsidP="00F40A4B">
      <w:pPr>
        <w:pStyle w:val="Sansinterligne"/>
        <w:rPr>
          <w:b/>
        </w:rPr>
      </w:pPr>
      <w:r w:rsidRPr="008343E9">
        <w:rPr>
          <w:b/>
        </w:rPr>
        <w:t>Infos N° 14-</w:t>
      </w:r>
      <w:r w:rsidR="00F40A4B" w:rsidRPr="008343E9">
        <w:rPr>
          <w:b/>
        </w:rPr>
        <w:t xml:space="preserve"> </w:t>
      </w:r>
      <w:r w:rsidRPr="008343E9">
        <w:rPr>
          <w:b/>
        </w:rPr>
        <w:t>12-18</w:t>
      </w:r>
    </w:p>
    <w:p w:rsidR="00F40A4B" w:rsidRDefault="00F40A4B" w:rsidP="00F40A4B">
      <w:pPr>
        <w:pStyle w:val="Sansinterligne"/>
      </w:pPr>
    </w:p>
    <w:p w:rsidR="00AD3BED" w:rsidRDefault="00AD3BED" w:rsidP="00F40A4B">
      <w:pPr>
        <w:pStyle w:val="Sansinterligne"/>
      </w:pPr>
      <w:r>
        <w:t xml:space="preserve">Pour ces 2 mois il n y’avais pas eu d’activités sur le terrain. Mais la sensibilisation des femmes relais continue toujours. </w:t>
      </w:r>
    </w:p>
    <w:p w:rsidR="007854AF" w:rsidRDefault="007854AF" w:rsidP="00F40A4B">
      <w:pPr>
        <w:pStyle w:val="Sansinterligne"/>
      </w:pPr>
    </w:p>
    <w:p w:rsidR="00C76759" w:rsidRPr="007854AF" w:rsidRDefault="00C76759" w:rsidP="00F40A4B">
      <w:pPr>
        <w:pStyle w:val="Sansinterligne"/>
        <w:rPr>
          <w:b/>
        </w:rPr>
      </w:pPr>
      <w:r w:rsidRPr="007854AF">
        <w:rPr>
          <w:b/>
        </w:rPr>
        <w:t>Sensibilisation</w:t>
      </w:r>
    </w:p>
    <w:tbl>
      <w:tblPr>
        <w:tblStyle w:val="Grilledutableau"/>
        <w:tblW w:w="0" w:type="auto"/>
        <w:tblLook w:val="04A0"/>
      </w:tblPr>
      <w:tblGrid>
        <w:gridCol w:w="1101"/>
        <w:gridCol w:w="1701"/>
        <w:gridCol w:w="3685"/>
        <w:gridCol w:w="1418"/>
        <w:gridCol w:w="1307"/>
      </w:tblGrid>
      <w:tr w:rsidR="00C76759" w:rsidTr="00C76759">
        <w:tc>
          <w:tcPr>
            <w:tcW w:w="1101" w:type="dxa"/>
          </w:tcPr>
          <w:p w:rsidR="00C76759" w:rsidRDefault="00C76759" w:rsidP="00F40A4B">
            <w:pPr>
              <w:pStyle w:val="Sansinterligne"/>
            </w:pPr>
            <w:r>
              <w:t>date</w:t>
            </w:r>
          </w:p>
        </w:tc>
        <w:tc>
          <w:tcPr>
            <w:tcW w:w="1701" w:type="dxa"/>
          </w:tcPr>
          <w:p w:rsidR="00C76759" w:rsidRDefault="00C76759" w:rsidP="00F40A4B">
            <w:pPr>
              <w:pStyle w:val="Sansinterligne"/>
            </w:pPr>
            <w:r>
              <w:t>quartier</w:t>
            </w:r>
          </w:p>
        </w:tc>
        <w:tc>
          <w:tcPr>
            <w:tcW w:w="3685" w:type="dxa"/>
          </w:tcPr>
          <w:p w:rsidR="00C76759" w:rsidRDefault="00C76759" w:rsidP="00F40A4B">
            <w:pPr>
              <w:pStyle w:val="Sansinterligne"/>
            </w:pPr>
            <w:r>
              <w:t>thèmes</w:t>
            </w:r>
          </w:p>
        </w:tc>
        <w:tc>
          <w:tcPr>
            <w:tcW w:w="1418" w:type="dxa"/>
          </w:tcPr>
          <w:p w:rsidR="00C76759" w:rsidRDefault="00C76759" w:rsidP="00F40A4B">
            <w:pPr>
              <w:pStyle w:val="Sansinterligne"/>
            </w:pPr>
            <w:r>
              <w:t>hommes</w:t>
            </w:r>
          </w:p>
        </w:tc>
        <w:tc>
          <w:tcPr>
            <w:tcW w:w="1307" w:type="dxa"/>
          </w:tcPr>
          <w:p w:rsidR="00C76759" w:rsidRDefault="00C76759" w:rsidP="00F40A4B">
            <w:pPr>
              <w:pStyle w:val="Sansinterligne"/>
            </w:pPr>
            <w:r>
              <w:t>femmes</w:t>
            </w:r>
          </w:p>
        </w:tc>
      </w:tr>
      <w:tr w:rsidR="00C76759" w:rsidTr="00C76759">
        <w:tc>
          <w:tcPr>
            <w:tcW w:w="1101" w:type="dxa"/>
          </w:tcPr>
          <w:p w:rsidR="00C76759" w:rsidRDefault="00C76759" w:rsidP="00F40A4B">
            <w:pPr>
              <w:pStyle w:val="Sansinterligne"/>
            </w:pPr>
            <w:r>
              <w:t>10/11/18</w:t>
            </w:r>
          </w:p>
        </w:tc>
        <w:tc>
          <w:tcPr>
            <w:tcW w:w="1701" w:type="dxa"/>
          </w:tcPr>
          <w:p w:rsidR="00C76759" w:rsidRDefault="00C76759" w:rsidP="00F40A4B">
            <w:pPr>
              <w:pStyle w:val="Sansinterligne"/>
            </w:pPr>
            <w:proofErr w:type="spellStart"/>
            <w:r>
              <w:t>Alkoubla</w:t>
            </w:r>
            <w:proofErr w:type="spellEnd"/>
            <w:r>
              <w:t xml:space="preserve"> I</w:t>
            </w:r>
          </w:p>
        </w:tc>
        <w:tc>
          <w:tcPr>
            <w:tcW w:w="3685" w:type="dxa"/>
          </w:tcPr>
          <w:p w:rsidR="00C76759" w:rsidRDefault="00C76759" w:rsidP="00F40A4B">
            <w:pPr>
              <w:pStyle w:val="Sansinterligne"/>
            </w:pPr>
            <w:r>
              <w:t>paludisme</w:t>
            </w:r>
          </w:p>
        </w:tc>
        <w:tc>
          <w:tcPr>
            <w:tcW w:w="1418" w:type="dxa"/>
          </w:tcPr>
          <w:p w:rsidR="00C76759" w:rsidRDefault="00C76759" w:rsidP="007854AF">
            <w:pPr>
              <w:pStyle w:val="Sansinterligne"/>
              <w:jc w:val="right"/>
            </w:pPr>
            <w:r>
              <w:t>08</w:t>
            </w:r>
          </w:p>
        </w:tc>
        <w:tc>
          <w:tcPr>
            <w:tcW w:w="1307" w:type="dxa"/>
          </w:tcPr>
          <w:p w:rsidR="00C76759" w:rsidRDefault="00C76759" w:rsidP="007854AF">
            <w:pPr>
              <w:pStyle w:val="Sansinterligne"/>
              <w:jc w:val="right"/>
            </w:pPr>
            <w:r>
              <w:t>19</w:t>
            </w:r>
          </w:p>
        </w:tc>
      </w:tr>
      <w:tr w:rsidR="00C76759" w:rsidTr="00C76759">
        <w:tc>
          <w:tcPr>
            <w:tcW w:w="1101" w:type="dxa"/>
          </w:tcPr>
          <w:p w:rsidR="00C76759" w:rsidRDefault="00C76759" w:rsidP="00F40A4B">
            <w:pPr>
              <w:pStyle w:val="Sansinterligne"/>
            </w:pPr>
            <w:r>
              <w:t>15/11/18</w:t>
            </w:r>
          </w:p>
        </w:tc>
        <w:tc>
          <w:tcPr>
            <w:tcW w:w="1701" w:type="dxa"/>
          </w:tcPr>
          <w:p w:rsidR="00C76759" w:rsidRDefault="00C76759" w:rsidP="00F40A4B">
            <w:pPr>
              <w:pStyle w:val="Sansinterligne"/>
            </w:pPr>
            <w:proofErr w:type="spellStart"/>
            <w:r>
              <w:t>Ebrouk</w:t>
            </w:r>
            <w:proofErr w:type="spellEnd"/>
          </w:p>
        </w:tc>
        <w:tc>
          <w:tcPr>
            <w:tcW w:w="3685" w:type="dxa"/>
          </w:tcPr>
          <w:p w:rsidR="00C76759" w:rsidRDefault="00C76759" w:rsidP="00F40A4B">
            <w:pPr>
              <w:pStyle w:val="Sansinterligne"/>
            </w:pPr>
            <w:r>
              <w:t>vaccination</w:t>
            </w:r>
          </w:p>
        </w:tc>
        <w:tc>
          <w:tcPr>
            <w:tcW w:w="1418" w:type="dxa"/>
          </w:tcPr>
          <w:p w:rsidR="00C76759" w:rsidRDefault="00C76759" w:rsidP="007854AF">
            <w:pPr>
              <w:pStyle w:val="Sansinterligne"/>
              <w:jc w:val="right"/>
            </w:pPr>
            <w:r>
              <w:t>10</w:t>
            </w:r>
          </w:p>
        </w:tc>
        <w:tc>
          <w:tcPr>
            <w:tcW w:w="1307" w:type="dxa"/>
          </w:tcPr>
          <w:p w:rsidR="00C76759" w:rsidRDefault="00C76759" w:rsidP="007854AF">
            <w:pPr>
              <w:pStyle w:val="Sansinterligne"/>
              <w:jc w:val="right"/>
            </w:pPr>
            <w:r>
              <w:t>31</w:t>
            </w:r>
          </w:p>
        </w:tc>
      </w:tr>
      <w:tr w:rsidR="00C76759" w:rsidTr="00C76759">
        <w:tc>
          <w:tcPr>
            <w:tcW w:w="1101" w:type="dxa"/>
          </w:tcPr>
          <w:p w:rsidR="00C76759" w:rsidRDefault="00C76759" w:rsidP="00F40A4B">
            <w:pPr>
              <w:pStyle w:val="Sansinterligne"/>
            </w:pPr>
            <w:r>
              <w:t>20/11/18</w:t>
            </w:r>
          </w:p>
        </w:tc>
        <w:tc>
          <w:tcPr>
            <w:tcW w:w="1701" w:type="dxa"/>
          </w:tcPr>
          <w:p w:rsidR="00C76759" w:rsidRDefault="00C76759" w:rsidP="00F40A4B">
            <w:pPr>
              <w:pStyle w:val="Sansinterligne"/>
            </w:pPr>
            <w:proofErr w:type="spellStart"/>
            <w:r>
              <w:t>Itirmane</w:t>
            </w:r>
            <w:proofErr w:type="spellEnd"/>
          </w:p>
        </w:tc>
        <w:tc>
          <w:tcPr>
            <w:tcW w:w="3685" w:type="dxa"/>
          </w:tcPr>
          <w:p w:rsidR="00C76759" w:rsidRDefault="00C76759" w:rsidP="00F40A4B">
            <w:pPr>
              <w:pStyle w:val="Sansinterligne"/>
            </w:pPr>
            <w:r>
              <w:t>P.F</w:t>
            </w:r>
          </w:p>
        </w:tc>
        <w:tc>
          <w:tcPr>
            <w:tcW w:w="1418" w:type="dxa"/>
          </w:tcPr>
          <w:p w:rsidR="00C76759" w:rsidRDefault="00C76759" w:rsidP="007854AF">
            <w:pPr>
              <w:pStyle w:val="Sansinterligne"/>
              <w:jc w:val="right"/>
            </w:pPr>
            <w:r>
              <w:t>15</w:t>
            </w:r>
          </w:p>
        </w:tc>
        <w:tc>
          <w:tcPr>
            <w:tcW w:w="1307" w:type="dxa"/>
          </w:tcPr>
          <w:p w:rsidR="00C76759" w:rsidRDefault="00C76759" w:rsidP="007854AF">
            <w:pPr>
              <w:pStyle w:val="Sansinterligne"/>
              <w:jc w:val="right"/>
            </w:pPr>
            <w:r>
              <w:t>29</w:t>
            </w:r>
          </w:p>
        </w:tc>
      </w:tr>
      <w:tr w:rsidR="00C76759" w:rsidTr="00C76759">
        <w:tc>
          <w:tcPr>
            <w:tcW w:w="1101" w:type="dxa"/>
          </w:tcPr>
          <w:p w:rsidR="00C76759" w:rsidRDefault="00C76759" w:rsidP="00F40A4B">
            <w:pPr>
              <w:pStyle w:val="Sansinterligne"/>
            </w:pPr>
            <w:r>
              <w:t>25/11/18</w:t>
            </w:r>
          </w:p>
        </w:tc>
        <w:tc>
          <w:tcPr>
            <w:tcW w:w="1701" w:type="dxa"/>
          </w:tcPr>
          <w:p w:rsidR="00C76759" w:rsidRDefault="00C76759" w:rsidP="00F40A4B">
            <w:pPr>
              <w:pStyle w:val="Sansinterligne"/>
            </w:pPr>
            <w:proofErr w:type="spellStart"/>
            <w:r>
              <w:t>Sabon</w:t>
            </w:r>
            <w:proofErr w:type="spellEnd"/>
            <w:r>
              <w:t xml:space="preserve"> Gari</w:t>
            </w:r>
          </w:p>
        </w:tc>
        <w:tc>
          <w:tcPr>
            <w:tcW w:w="3685" w:type="dxa"/>
          </w:tcPr>
          <w:p w:rsidR="00C76759" w:rsidRDefault="00C76759" w:rsidP="00F40A4B">
            <w:pPr>
              <w:pStyle w:val="Sansinterligne"/>
            </w:pPr>
            <w:r>
              <w:t>Vaccination des femmes enceintes</w:t>
            </w:r>
          </w:p>
        </w:tc>
        <w:tc>
          <w:tcPr>
            <w:tcW w:w="1418" w:type="dxa"/>
          </w:tcPr>
          <w:p w:rsidR="00C76759" w:rsidRDefault="00C76759" w:rsidP="007854AF">
            <w:pPr>
              <w:pStyle w:val="Sansinterligne"/>
              <w:jc w:val="right"/>
            </w:pPr>
            <w:r>
              <w:t>05</w:t>
            </w:r>
          </w:p>
        </w:tc>
        <w:tc>
          <w:tcPr>
            <w:tcW w:w="1307" w:type="dxa"/>
          </w:tcPr>
          <w:p w:rsidR="00C76759" w:rsidRDefault="00C76759" w:rsidP="007854AF">
            <w:pPr>
              <w:pStyle w:val="Sansinterligne"/>
              <w:jc w:val="right"/>
            </w:pPr>
            <w:r>
              <w:t>23</w:t>
            </w:r>
          </w:p>
        </w:tc>
      </w:tr>
      <w:tr w:rsidR="00C76759" w:rsidTr="00C76759">
        <w:tc>
          <w:tcPr>
            <w:tcW w:w="1101" w:type="dxa"/>
          </w:tcPr>
          <w:p w:rsidR="00C76759" w:rsidRDefault="00C76759" w:rsidP="00F40A4B">
            <w:pPr>
              <w:pStyle w:val="Sansinterligne"/>
            </w:pPr>
            <w:r>
              <w:t>30/11/18</w:t>
            </w:r>
          </w:p>
        </w:tc>
        <w:tc>
          <w:tcPr>
            <w:tcW w:w="1701" w:type="dxa"/>
          </w:tcPr>
          <w:p w:rsidR="00C76759" w:rsidRDefault="00C76759" w:rsidP="00F40A4B">
            <w:pPr>
              <w:pStyle w:val="Sansinterligne"/>
            </w:pPr>
            <w:proofErr w:type="spellStart"/>
            <w:r>
              <w:t>Agafaye</w:t>
            </w:r>
            <w:proofErr w:type="spellEnd"/>
          </w:p>
        </w:tc>
        <w:tc>
          <w:tcPr>
            <w:tcW w:w="3685" w:type="dxa"/>
          </w:tcPr>
          <w:p w:rsidR="00C76759" w:rsidRDefault="00C76759" w:rsidP="00F40A4B">
            <w:pPr>
              <w:pStyle w:val="Sansinterligne"/>
            </w:pPr>
            <w:r>
              <w:t>Sur les maladies liées à l’eau</w:t>
            </w:r>
          </w:p>
        </w:tc>
        <w:tc>
          <w:tcPr>
            <w:tcW w:w="1418" w:type="dxa"/>
          </w:tcPr>
          <w:p w:rsidR="00C76759" w:rsidRDefault="00C76759" w:rsidP="007854AF">
            <w:pPr>
              <w:pStyle w:val="Sansinterligne"/>
              <w:jc w:val="right"/>
            </w:pPr>
            <w:r>
              <w:t>07</w:t>
            </w:r>
          </w:p>
        </w:tc>
        <w:tc>
          <w:tcPr>
            <w:tcW w:w="1307" w:type="dxa"/>
          </w:tcPr>
          <w:p w:rsidR="00C76759" w:rsidRDefault="00C76759" w:rsidP="007854AF">
            <w:pPr>
              <w:pStyle w:val="Sansinterligne"/>
              <w:jc w:val="right"/>
            </w:pPr>
            <w:r>
              <w:t>18</w:t>
            </w:r>
          </w:p>
        </w:tc>
      </w:tr>
      <w:tr w:rsidR="00C76759" w:rsidTr="00C76759">
        <w:tc>
          <w:tcPr>
            <w:tcW w:w="1101" w:type="dxa"/>
          </w:tcPr>
          <w:p w:rsidR="00C76759" w:rsidRDefault="00C76759" w:rsidP="00F40A4B">
            <w:pPr>
              <w:pStyle w:val="Sansinterligne"/>
            </w:pPr>
            <w:r>
              <w:t>05/12/18</w:t>
            </w:r>
          </w:p>
        </w:tc>
        <w:tc>
          <w:tcPr>
            <w:tcW w:w="1701" w:type="dxa"/>
          </w:tcPr>
          <w:p w:rsidR="00C76759" w:rsidRDefault="00DA53DB" w:rsidP="00F40A4B">
            <w:pPr>
              <w:pStyle w:val="Sansinterligne"/>
            </w:pPr>
            <w:proofErr w:type="spellStart"/>
            <w:r>
              <w:t>Alkoubla</w:t>
            </w:r>
            <w:proofErr w:type="spellEnd"/>
          </w:p>
        </w:tc>
        <w:tc>
          <w:tcPr>
            <w:tcW w:w="3685" w:type="dxa"/>
          </w:tcPr>
          <w:p w:rsidR="00C76759" w:rsidRDefault="00DA53DB" w:rsidP="00F40A4B">
            <w:pPr>
              <w:pStyle w:val="Sansinterligne"/>
            </w:pPr>
            <w:r>
              <w:t>Vaccination des enfants de 0 à 5 ans</w:t>
            </w:r>
          </w:p>
        </w:tc>
        <w:tc>
          <w:tcPr>
            <w:tcW w:w="1418" w:type="dxa"/>
          </w:tcPr>
          <w:p w:rsidR="00C76759" w:rsidRDefault="00DA53DB" w:rsidP="007854AF">
            <w:pPr>
              <w:pStyle w:val="Sansinterligne"/>
              <w:jc w:val="right"/>
            </w:pPr>
            <w:r>
              <w:t>12</w:t>
            </w:r>
          </w:p>
        </w:tc>
        <w:tc>
          <w:tcPr>
            <w:tcW w:w="1307" w:type="dxa"/>
          </w:tcPr>
          <w:p w:rsidR="00C76759" w:rsidRDefault="00DA53DB" w:rsidP="007854AF">
            <w:pPr>
              <w:pStyle w:val="Sansinterligne"/>
              <w:jc w:val="right"/>
            </w:pPr>
            <w:r>
              <w:t>35</w:t>
            </w:r>
          </w:p>
        </w:tc>
      </w:tr>
      <w:tr w:rsidR="00C76759" w:rsidTr="00C76759">
        <w:tc>
          <w:tcPr>
            <w:tcW w:w="1101" w:type="dxa"/>
          </w:tcPr>
          <w:p w:rsidR="00C76759" w:rsidRDefault="00DA53DB" w:rsidP="00F40A4B">
            <w:pPr>
              <w:pStyle w:val="Sansinterligne"/>
            </w:pPr>
            <w:r>
              <w:t>15/12/18</w:t>
            </w:r>
          </w:p>
        </w:tc>
        <w:tc>
          <w:tcPr>
            <w:tcW w:w="1701" w:type="dxa"/>
          </w:tcPr>
          <w:p w:rsidR="00C76759" w:rsidRDefault="00DA53DB" w:rsidP="00F40A4B">
            <w:pPr>
              <w:pStyle w:val="Sansinterligne"/>
            </w:pPr>
            <w:r>
              <w:t>P.M.I</w:t>
            </w:r>
          </w:p>
        </w:tc>
        <w:tc>
          <w:tcPr>
            <w:tcW w:w="3685" w:type="dxa"/>
          </w:tcPr>
          <w:p w:rsidR="00C76759" w:rsidRDefault="00DA53DB" w:rsidP="00F40A4B">
            <w:pPr>
              <w:pStyle w:val="Sansinterligne"/>
            </w:pPr>
            <w:r>
              <w:t>Sur la rougeole</w:t>
            </w:r>
          </w:p>
        </w:tc>
        <w:tc>
          <w:tcPr>
            <w:tcW w:w="1418" w:type="dxa"/>
          </w:tcPr>
          <w:p w:rsidR="00C76759" w:rsidRDefault="00DA53DB" w:rsidP="007854AF">
            <w:pPr>
              <w:pStyle w:val="Sansinterligne"/>
              <w:jc w:val="right"/>
            </w:pPr>
            <w:r>
              <w:t>07</w:t>
            </w:r>
          </w:p>
        </w:tc>
        <w:tc>
          <w:tcPr>
            <w:tcW w:w="1307" w:type="dxa"/>
          </w:tcPr>
          <w:p w:rsidR="00C76759" w:rsidRDefault="00DA53DB" w:rsidP="007854AF">
            <w:pPr>
              <w:pStyle w:val="Sansinterligne"/>
              <w:jc w:val="right"/>
            </w:pPr>
            <w:r>
              <w:t>25</w:t>
            </w:r>
          </w:p>
        </w:tc>
      </w:tr>
      <w:tr w:rsidR="00C76759" w:rsidTr="00C76759">
        <w:tc>
          <w:tcPr>
            <w:tcW w:w="1101" w:type="dxa"/>
          </w:tcPr>
          <w:p w:rsidR="00C76759" w:rsidRDefault="00DA53DB" w:rsidP="00F40A4B">
            <w:pPr>
              <w:pStyle w:val="Sansinterligne"/>
            </w:pPr>
            <w:r>
              <w:t>20/12/18</w:t>
            </w:r>
          </w:p>
        </w:tc>
        <w:tc>
          <w:tcPr>
            <w:tcW w:w="1701" w:type="dxa"/>
          </w:tcPr>
          <w:p w:rsidR="00C76759" w:rsidRDefault="00DA53DB" w:rsidP="00F40A4B">
            <w:pPr>
              <w:pStyle w:val="Sansinterligne"/>
            </w:pPr>
            <w:proofErr w:type="spellStart"/>
            <w:r>
              <w:t>Agataye</w:t>
            </w:r>
            <w:proofErr w:type="spellEnd"/>
          </w:p>
        </w:tc>
        <w:tc>
          <w:tcPr>
            <w:tcW w:w="3685" w:type="dxa"/>
          </w:tcPr>
          <w:p w:rsidR="00C76759" w:rsidRDefault="00DA53DB" w:rsidP="00F40A4B">
            <w:pPr>
              <w:pStyle w:val="Sansinterligne"/>
            </w:pPr>
            <w:r>
              <w:t>Sur la méningite</w:t>
            </w:r>
          </w:p>
        </w:tc>
        <w:tc>
          <w:tcPr>
            <w:tcW w:w="1418" w:type="dxa"/>
          </w:tcPr>
          <w:p w:rsidR="00C76759" w:rsidRDefault="00DA53DB" w:rsidP="007854AF">
            <w:pPr>
              <w:pStyle w:val="Sansinterligne"/>
              <w:jc w:val="right"/>
            </w:pPr>
            <w:r>
              <w:t>05</w:t>
            </w:r>
          </w:p>
        </w:tc>
        <w:tc>
          <w:tcPr>
            <w:tcW w:w="1307" w:type="dxa"/>
          </w:tcPr>
          <w:p w:rsidR="00C76759" w:rsidRDefault="00DA53DB" w:rsidP="007854AF">
            <w:pPr>
              <w:pStyle w:val="Sansinterligne"/>
              <w:jc w:val="right"/>
            </w:pPr>
            <w:r>
              <w:t>28</w:t>
            </w:r>
          </w:p>
        </w:tc>
      </w:tr>
      <w:tr w:rsidR="00C76759" w:rsidTr="00C76759">
        <w:tc>
          <w:tcPr>
            <w:tcW w:w="1101" w:type="dxa"/>
          </w:tcPr>
          <w:p w:rsidR="00C76759" w:rsidRDefault="00DA53DB" w:rsidP="00F40A4B">
            <w:pPr>
              <w:pStyle w:val="Sansinterligne"/>
            </w:pPr>
            <w:r>
              <w:t>25/12/18</w:t>
            </w:r>
          </w:p>
        </w:tc>
        <w:tc>
          <w:tcPr>
            <w:tcW w:w="1701" w:type="dxa"/>
          </w:tcPr>
          <w:p w:rsidR="00C76759" w:rsidRDefault="00DA53DB" w:rsidP="00F40A4B">
            <w:pPr>
              <w:pStyle w:val="Sansinterligne"/>
            </w:pPr>
            <w:r>
              <w:t>Faisceau</w:t>
            </w:r>
          </w:p>
        </w:tc>
        <w:tc>
          <w:tcPr>
            <w:tcW w:w="3685" w:type="dxa"/>
          </w:tcPr>
          <w:p w:rsidR="00C76759" w:rsidRDefault="00DA53DB" w:rsidP="00F40A4B">
            <w:pPr>
              <w:pStyle w:val="Sansinterligne"/>
            </w:pPr>
            <w:r>
              <w:t>Sur la malnutrition</w:t>
            </w:r>
          </w:p>
        </w:tc>
        <w:tc>
          <w:tcPr>
            <w:tcW w:w="1418" w:type="dxa"/>
          </w:tcPr>
          <w:p w:rsidR="00C76759" w:rsidRDefault="00DA53DB" w:rsidP="007854AF">
            <w:pPr>
              <w:pStyle w:val="Sansinterligne"/>
              <w:jc w:val="right"/>
            </w:pPr>
            <w:r>
              <w:t>09</w:t>
            </w:r>
          </w:p>
        </w:tc>
        <w:tc>
          <w:tcPr>
            <w:tcW w:w="1307" w:type="dxa"/>
          </w:tcPr>
          <w:p w:rsidR="00C76759" w:rsidRDefault="00DA53DB" w:rsidP="007854AF">
            <w:pPr>
              <w:pStyle w:val="Sansinterligne"/>
              <w:jc w:val="right"/>
            </w:pPr>
            <w:r>
              <w:t>20</w:t>
            </w:r>
          </w:p>
        </w:tc>
      </w:tr>
      <w:tr w:rsidR="00C76759" w:rsidTr="00C76759">
        <w:tc>
          <w:tcPr>
            <w:tcW w:w="1101" w:type="dxa"/>
          </w:tcPr>
          <w:p w:rsidR="00C76759" w:rsidRDefault="00DA53DB" w:rsidP="00F40A4B">
            <w:pPr>
              <w:pStyle w:val="Sansinterligne"/>
            </w:pPr>
            <w:r>
              <w:t>30/12/18</w:t>
            </w:r>
          </w:p>
        </w:tc>
        <w:tc>
          <w:tcPr>
            <w:tcW w:w="1701" w:type="dxa"/>
          </w:tcPr>
          <w:p w:rsidR="00C76759" w:rsidRDefault="007E6CDC" w:rsidP="00F40A4B">
            <w:pPr>
              <w:pStyle w:val="Sansinterligne"/>
            </w:pPr>
            <w:proofErr w:type="spellStart"/>
            <w:r>
              <w:t>Toudou</w:t>
            </w:r>
            <w:proofErr w:type="spellEnd"/>
          </w:p>
        </w:tc>
        <w:tc>
          <w:tcPr>
            <w:tcW w:w="3685" w:type="dxa"/>
          </w:tcPr>
          <w:p w:rsidR="00C76759" w:rsidRDefault="007E6CDC" w:rsidP="00F40A4B">
            <w:pPr>
              <w:pStyle w:val="Sansinterligne"/>
            </w:pPr>
            <w:r>
              <w:t>Allaitement jusqu’à trois mois</w:t>
            </w:r>
          </w:p>
        </w:tc>
        <w:tc>
          <w:tcPr>
            <w:tcW w:w="1418" w:type="dxa"/>
          </w:tcPr>
          <w:p w:rsidR="00C76759" w:rsidRDefault="007E6CDC" w:rsidP="007854AF">
            <w:pPr>
              <w:pStyle w:val="Sansinterligne"/>
              <w:jc w:val="right"/>
            </w:pPr>
            <w:r>
              <w:t>11</w:t>
            </w:r>
          </w:p>
        </w:tc>
        <w:tc>
          <w:tcPr>
            <w:tcW w:w="1307" w:type="dxa"/>
          </w:tcPr>
          <w:p w:rsidR="00C76759" w:rsidRDefault="007E6CDC" w:rsidP="007854AF">
            <w:pPr>
              <w:pStyle w:val="Sansinterligne"/>
              <w:jc w:val="right"/>
            </w:pPr>
            <w:r>
              <w:t>36</w:t>
            </w:r>
          </w:p>
        </w:tc>
      </w:tr>
    </w:tbl>
    <w:p w:rsidR="00C76759" w:rsidRDefault="00C76759" w:rsidP="00F40A4B">
      <w:pPr>
        <w:pStyle w:val="Sansinterligne"/>
      </w:pPr>
    </w:p>
    <w:p w:rsidR="00F40A4B" w:rsidRPr="00F40A4B" w:rsidRDefault="00F40A4B" w:rsidP="00F40A4B">
      <w:pPr>
        <w:pStyle w:val="Sansinterligne"/>
        <w:rPr>
          <w:b/>
        </w:rPr>
      </w:pPr>
      <w:r w:rsidRPr="00F40A4B">
        <w:rPr>
          <w:b/>
        </w:rPr>
        <w:t>Le comblement de mare</w:t>
      </w:r>
    </w:p>
    <w:p w:rsidR="00AD3BED" w:rsidRDefault="00AD3BED" w:rsidP="00E74A7F">
      <w:pPr>
        <w:pStyle w:val="Sansinterligne"/>
        <w:jc w:val="both"/>
      </w:pPr>
      <w:r>
        <w:t>Ce comblement à nécessité un nombre important d’hommes et femmes</w:t>
      </w:r>
      <w:r w:rsidR="00F67F8D">
        <w:t xml:space="preserve">. Les femmes relais et le groupe </w:t>
      </w:r>
      <w:proofErr w:type="spellStart"/>
      <w:r w:rsidR="00F67F8D">
        <w:t>Habdigui</w:t>
      </w:r>
      <w:proofErr w:type="spellEnd"/>
      <w:r w:rsidR="00F67F8D">
        <w:t xml:space="preserve"> se sont démarqués avec une participation record. Il a été fais avec des matériels simples comme les brouettes, les pelles, les râ</w:t>
      </w:r>
      <w:r w:rsidR="00D71106">
        <w:t>teaux</w:t>
      </w:r>
      <w:r w:rsidR="00F67F8D">
        <w:t xml:space="preserve"> les pioches</w:t>
      </w:r>
      <w:r w:rsidR="00D71106">
        <w:t xml:space="preserve"> et des haches</w:t>
      </w:r>
      <w:r w:rsidR="00F67F8D">
        <w:t>. Devant un regard curieux et joyeux la population riveraine est sorti</w:t>
      </w:r>
      <w:r w:rsidR="005449E1">
        <w:t>e</w:t>
      </w:r>
      <w:r w:rsidR="00F67F8D">
        <w:t xml:space="preserve"> massivement pour encourager les travailleurs. Certains ont pris un peu de leur temps pour apporter main forte aux hommes et femmes sur le terrain.</w:t>
      </w:r>
      <w:r w:rsidR="00334E5D">
        <w:t xml:space="preserve"> Un des responsable</w:t>
      </w:r>
      <w:r w:rsidR="00C11AA6">
        <w:t>s</w:t>
      </w:r>
      <w:r w:rsidR="00334E5D">
        <w:t xml:space="preserve"> du quartier a affirmé que les habitants du quartier prendront en charge un gardien afin de pérenniser l’action et de faire en sorte que le lieu soit toujours salubre.</w:t>
      </w:r>
      <w:r w:rsidR="006614A2">
        <w:t xml:space="preserve"> </w:t>
      </w:r>
    </w:p>
    <w:p w:rsidR="009C65ED" w:rsidRPr="00F40A4B" w:rsidRDefault="009C65ED" w:rsidP="00E74A7F">
      <w:pPr>
        <w:pStyle w:val="Sansinterligne"/>
        <w:jc w:val="both"/>
        <w:rPr>
          <w:b/>
        </w:rPr>
      </w:pPr>
      <w:r w:rsidRPr="00F40A4B">
        <w:rPr>
          <w:b/>
        </w:rPr>
        <w:t>Journées de salubrités</w:t>
      </w:r>
    </w:p>
    <w:p w:rsidR="009C65ED" w:rsidRDefault="009C65ED" w:rsidP="00E74A7F">
      <w:pPr>
        <w:pStyle w:val="Sansinterligne"/>
        <w:jc w:val="both"/>
      </w:pPr>
      <w:r>
        <w:t>Avec l’appui de la mairie, les journée</w:t>
      </w:r>
      <w:r w:rsidR="00976C84">
        <w:t>s</w:t>
      </w:r>
      <w:r>
        <w:t xml:space="preserve"> de salubrité sont organisé</w:t>
      </w:r>
      <w:r w:rsidR="00976C84">
        <w:t>es</w:t>
      </w:r>
      <w:r>
        <w:t xml:space="preserve"> à la veille  des grands </w:t>
      </w:r>
      <w:r w:rsidR="00976C84">
        <w:t>événements</w:t>
      </w:r>
      <w:r>
        <w:t xml:space="preserve"> comme la cure salée</w:t>
      </w:r>
      <w:r w:rsidR="00976C84">
        <w:t>, les fêtes religieuses</w:t>
      </w:r>
      <w:r w:rsidR="00D71106">
        <w:t>, le marché, les services de l’Etat</w:t>
      </w:r>
      <w:r w:rsidR="00976C84">
        <w:t xml:space="preserve"> et dans le centre de santé.</w:t>
      </w:r>
      <w:r w:rsidR="00D71106">
        <w:t xml:space="preserve"> Des matériels comme brouettes, pelles, balais, râteaux. Les balayeurs portent même des gilets pour qu’il soit identifié. </w:t>
      </w:r>
      <w:r w:rsidR="005F2356">
        <w:t xml:space="preserve">Cette activité a non seulement permis de rendre salubre une grande partie de la ville et a occupé beaucoup de personnes pour entretenir </w:t>
      </w:r>
      <w:r w:rsidR="00F40A4B">
        <w:t>leurs familles.</w:t>
      </w:r>
      <w:r w:rsidR="00A46334">
        <w:t xml:space="preserve"> </w:t>
      </w:r>
    </w:p>
    <w:p w:rsidR="008B5E2A" w:rsidRDefault="002D7104" w:rsidP="00E74A7F">
      <w:pPr>
        <w:pStyle w:val="Sansinterligne"/>
        <w:jc w:val="both"/>
      </w:pPr>
      <w:r>
        <w:rPr>
          <w:noProof/>
          <w:lang w:eastAsia="fr-FR"/>
        </w:rPr>
        <w:drawing>
          <wp:inline distT="0" distB="0" distL="0" distR="0">
            <wp:extent cx="1540444" cy="1248463"/>
            <wp:effectExtent l="19050" t="0" r="2606" b="0"/>
            <wp:docPr id="5" name="Image 5" descr="C:\Users\user\AppData\Local\Microsoft\Windows\Temporary Internet Files\Content.Word\IMG-20181227-WA001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AppData\Local\Microsoft\Windows\Temporary Internet Files\Content.Word\IMG-20181227-WA0015-1.jpg"/>
                    <pic:cNvPicPr>
                      <a:picLocks noChangeAspect="1" noChangeArrowheads="1"/>
                    </pic:cNvPicPr>
                  </pic:nvPicPr>
                  <pic:blipFill>
                    <a:blip r:embed="rId5"/>
                    <a:srcRect/>
                    <a:stretch>
                      <a:fillRect/>
                    </a:stretch>
                  </pic:blipFill>
                  <pic:spPr bwMode="auto">
                    <a:xfrm>
                      <a:off x="0" y="0"/>
                      <a:ext cx="1541620" cy="1249416"/>
                    </a:xfrm>
                    <a:prstGeom prst="rect">
                      <a:avLst/>
                    </a:prstGeom>
                    <a:noFill/>
                    <a:ln w="9525">
                      <a:noFill/>
                      <a:miter lim="800000"/>
                      <a:headEnd/>
                      <a:tailEnd/>
                    </a:ln>
                  </pic:spPr>
                </pic:pic>
              </a:graphicData>
            </a:graphic>
          </wp:inline>
        </w:drawing>
      </w:r>
      <w:r>
        <w:rPr>
          <w:noProof/>
          <w:lang w:eastAsia="fr-FR"/>
        </w:rPr>
        <w:drawing>
          <wp:inline distT="0" distB="0" distL="0" distR="0">
            <wp:extent cx="1539174" cy="1247039"/>
            <wp:effectExtent l="19050" t="0" r="3876" b="0"/>
            <wp:docPr id="8" name="Image 8" descr="C:\Users\user\AppData\Local\Microsoft\Windows\Temporary Internet Files\Content.Word\IMG-20181227-WA00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user\AppData\Local\Microsoft\Windows\Temporary Internet Files\Content.Word\IMG-20181227-WA0025.jpg"/>
                    <pic:cNvPicPr>
                      <a:picLocks noChangeAspect="1" noChangeArrowheads="1"/>
                    </pic:cNvPicPr>
                  </pic:nvPicPr>
                  <pic:blipFill>
                    <a:blip r:embed="rId6" cstate="print"/>
                    <a:srcRect/>
                    <a:stretch>
                      <a:fillRect/>
                    </a:stretch>
                  </pic:blipFill>
                  <pic:spPr bwMode="auto">
                    <a:xfrm>
                      <a:off x="0" y="0"/>
                      <a:ext cx="1538524" cy="1246512"/>
                    </a:xfrm>
                    <a:prstGeom prst="rect">
                      <a:avLst/>
                    </a:prstGeom>
                    <a:noFill/>
                    <a:ln w="9525">
                      <a:noFill/>
                      <a:miter lim="800000"/>
                      <a:headEnd/>
                      <a:tailEnd/>
                    </a:ln>
                  </pic:spPr>
                </pic:pic>
              </a:graphicData>
            </a:graphic>
          </wp:inline>
        </w:drawing>
      </w:r>
      <w:r>
        <w:rPr>
          <w:noProof/>
          <w:lang w:eastAsia="fr-FR"/>
        </w:rPr>
        <w:drawing>
          <wp:inline distT="0" distB="0" distL="0" distR="0">
            <wp:extent cx="1537904" cy="1247425"/>
            <wp:effectExtent l="19050" t="0" r="5146" b="0"/>
            <wp:docPr id="11" name="Image 11" descr="C:\Users\user\AppData\Local\Microsoft\Windows\Temporary Internet Files\Content.Word\IMG-20181227-WA002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user\AppData\Local\Microsoft\Windows\Temporary Internet Files\Content.Word\IMG-20181227-WA0026-1.jpg"/>
                    <pic:cNvPicPr>
                      <a:picLocks noChangeAspect="1" noChangeArrowheads="1"/>
                    </pic:cNvPicPr>
                  </pic:nvPicPr>
                  <pic:blipFill>
                    <a:blip r:embed="rId7" cstate="print"/>
                    <a:srcRect/>
                    <a:stretch>
                      <a:fillRect/>
                    </a:stretch>
                  </pic:blipFill>
                  <pic:spPr bwMode="auto">
                    <a:xfrm>
                      <a:off x="0" y="0"/>
                      <a:ext cx="1536780" cy="1246513"/>
                    </a:xfrm>
                    <a:prstGeom prst="rect">
                      <a:avLst/>
                    </a:prstGeom>
                    <a:noFill/>
                    <a:ln w="9525">
                      <a:noFill/>
                      <a:miter lim="800000"/>
                      <a:headEnd/>
                      <a:tailEnd/>
                    </a:ln>
                  </pic:spPr>
                </pic:pic>
              </a:graphicData>
            </a:graphic>
          </wp:inline>
        </w:drawing>
      </w:r>
    </w:p>
    <w:p w:rsidR="00F3330A" w:rsidRPr="00F3330A" w:rsidRDefault="00F3330A" w:rsidP="00E74A7F">
      <w:pPr>
        <w:pStyle w:val="Sansinterligne"/>
        <w:jc w:val="both"/>
        <w:rPr>
          <w:b/>
        </w:rPr>
      </w:pPr>
      <w:r w:rsidRPr="00F3330A">
        <w:rPr>
          <w:b/>
        </w:rPr>
        <w:t>Contribution de la mairie à l’assainissement</w:t>
      </w:r>
    </w:p>
    <w:p w:rsidR="00A46334" w:rsidRDefault="00A46334" w:rsidP="00E74A7F">
      <w:pPr>
        <w:pStyle w:val="Sansinterligne"/>
        <w:jc w:val="both"/>
      </w:pPr>
      <w:r>
        <w:t>Pour toutes les activités d’a</w:t>
      </w:r>
      <w:r w:rsidR="00B14BF9">
        <w:t>ssainissement, la mairie a mis à</w:t>
      </w:r>
      <w:r>
        <w:t xml:space="preserve"> notre disposition </w:t>
      </w:r>
      <w:r w:rsidR="00B14BF9">
        <w:t>un agent d’hygiène et assainissement. Celui-ci suit avec nous les activités dans toute la ville. Il nous apporte aussi des conseils techniques</w:t>
      </w:r>
      <w:r w:rsidR="00CC098B">
        <w:t xml:space="preserve"> afin d’améliorer nos activités du jour au jour.</w:t>
      </w:r>
    </w:p>
    <w:p w:rsidR="0028315D" w:rsidRDefault="00CC098B" w:rsidP="00E74A7F">
      <w:pPr>
        <w:pStyle w:val="Sansinterligne"/>
        <w:jc w:val="both"/>
      </w:pPr>
      <w:r>
        <w:t xml:space="preserve">Les habitants des périphéries d’Ingall et les populations du sud du pays pensent que l’eau chaude du robinet d’Ingall possède des remèdes pour plusieurs maladies que la santé moderne met du temps à guérir ou qu’il n’arrive pas à guérir. Ainsi plusieurs personnes </w:t>
      </w:r>
      <w:r w:rsidR="00771640">
        <w:t xml:space="preserve">viennent à Ingall pour se laver afin de trouver le remède miraculeux pour leurs maladies. Ils se lavent près du château avec l’eau chaude provenant directement de la source dans 2 petites douches en faisant la queue toute la journée. La nuit certains se lave à l’air libre. L’eau issue de ces douches se stagne partout gênant parfois la circulation. Cette eau usée </w:t>
      </w:r>
      <w:r w:rsidR="009B30C7">
        <w:t xml:space="preserve">développe </w:t>
      </w:r>
      <w:r w:rsidR="00771640">
        <w:t>des moustiques porteurs du paludisme. Les habitations environnantes et même les patients et les accompagnateurs du centre de santé qui est très proche de ces douches sont exposés à plusieurs maladies</w:t>
      </w:r>
      <w:r w:rsidR="0028315D">
        <w:t>.</w:t>
      </w:r>
    </w:p>
    <w:p w:rsidR="00356322" w:rsidRDefault="0028315D" w:rsidP="00E74A7F">
      <w:pPr>
        <w:pStyle w:val="Sansinterligne"/>
        <w:jc w:val="both"/>
      </w:pPr>
      <w:r>
        <w:t>Pour cela la mairie d’Ingall à décidé de construire des douches publiques modernes. Ces douches sont gérées par des gens désigné par la mairie. Des douches construites pour contenir l’eau issue de ces douches sont régulièrement vidé</w:t>
      </w:r>
      <w:r w:rsidR="006E02E3">
        <w:t>es</w:t>
      </w:r>
      <w:r>
        <w:t xml:space="preserve"> dans des tonneaux posé</w:t>
      </w:r>
      <w:r w:rsidR="00546094">
        <w:t>s</w:t>
      </w:r>
      <w:r>
        <w:t xml:space="preserve"> dans des charrettes.</w:t>
      </w:r>
    </w:p>
    <w:p w:rsidR="007D0AEA" w:rsidRDefault="008B5E2A" w:rsidP="00E74A7F">
      <w:pPr>
        <w:pStyle w:val="Sansinterligne"/>
        <w:jc w:val="both"/>
      </w:pPr>
      <w:r>
        <w:rPr>
          <w:noProof/>
          <w:lang w:eastAsia="fr-FR"/>
        </w:rPr>
        <w:lastRenderedPageBreak/>
        <w:drawing>
          <wp:inline distT="0" distB="0" distL="0" distR="0">
            <wp:extent cx="1303987" cy="1120261"/>
            <wp:effectExtent l="19050" t="0" r="0" b="0"/>
            <wp:docPr id="1" name="Image 1" descr="C:\Users\user\Pictures\2019-01-06\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2019-01-06\005.jpg"/>
                    <pic:cNvPicPr>
                      <a:picLocks noChangeAspect="1" noChangeArrowheads="1"/>
                    </pic:cNvPicPr>
                  </pic:nvPicPr>
                  <pic:blipFill>
                    <a:blip r:embed="rId8" cstate="print"/>
                    <a:srcRect/>
                    <a:stretch>
                      <a:fillRect/>
                    </a:stretch>
                  </pic:blipFill>
                  <pic:spPr bwMode="auto">
                    <a:xfrm>
                      <a:off x="0" y="0"/>
                      <a:ext cx="1309317" cy="1124840"/>
                    </a:xfrm>
                    <a:prstGeom prst="rect">
                      <a:avLst/>
                    </a:prstGeom>
                    <a:noFill/>
                    <a:ln w="9525">
                      <a:noFill/>
                      <a:miter lim="800000"/>
                      <a:headEnd/>
                      <a:tailEnd/>
                    </a:ln>
                  </pic:spPr>
                </pic:pic>
              </a:graphicData>
            </a:graphic>
          </wp:inline>
        </w:drawing>
      </w:r>
      <w:r>
        <w:rPr>
          <w:noProof/>
          <w:lang w:eastAsia="fr-FR"/>
        </w:rPr>
        <w:drawing>
          <wp:inline distT="0" distB="0" distL="0" distR="0">
            <wp:extent cx="1311607" cy="1160060"/>
            <wp:effectExtent l="19050" t="0" r="2843" b="0"/>
            <wp:docPr id="2" name="Image 2" descr="C:\Users\user\Pictures\2019-01-06\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Pictures\2019-01-06\006.jpg"/>
                    <pic:cNvPicPr>
                      <a:picLocks noChangeAspect="1" noChangeArrowheads="1"/>
                    </pic:cNvPicPr>
                  </pic:nvPicPr>
                  <pic:blipFill>
                    <a:blip r:embed="rId9" cstate="print"/>
                    <a:srcRect/>
                    <a:stretch>
                      <a:fillRect/>
                    </a:stretch>
                  </pic:blipFill>
                  <pic:spPr bwMode="auto">
                    <a:xfrm>
                      <a:off x="0" y="0"/>
                      <a:ext cx="1311858" cy="1160282"/>
                    </a:xfrm>
                    <a:prstGeom prst="rect">
                      <a:avLst/>
                    </a:prstGeom>
                    <a:noFill/>
                    <a:ln w="9525">
                      <a:noFill/>
                      <a:miter lim="800000"/>
                      <a:headEnd/>
                      <a:tailEnd/>
                    </a:ln>
                  </pic:spPr>
                </pic:pic>
              </a:graphicData>
            </a:graphic>
          </wp:inline>
        </w:drawing>
      </w:r>
      <w:r>
        <w:rPr>
          <w:noProof/>
          <w:lang w:eastAsia="fr-FR"/>
        </w:rPr>
        <w:drawing>
          <wp:inline distT="0" distB="0" distL="0" distR="0">
            <wp:extent cx="1127362" cy="1160060"/>
            <wp:effectExtent l="19050" t="0" r="0" b="0"/>
            <wp:docPr id="3" name="Image 3" descr="C:\Users\user\Pictures\2019-01-06\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Pictures\2019-01-06\007.jpg"/>
                    <pic:cNvPicPr>
                      <a:picLocks noChangeAspect="1" noChangeArrowheads="1"/>
                    </pic:cNvPicPr>
                  </pic:nvPicPr>
                  <pic:blipFill>
                    <a:blip r:embed="rId10" cstate="print"/>
                    <a:srcRect/>
                    <a:stretch>
                      <a:fillRect/>
                    </a:stretch>
                  </pic:blipFill>
                  <pic:spPr bwMode="auto">
                    <a:xfrm>
                      <a:off x="0" y="0"/>
                      <a:ext cx="1127577" cy="1160281"/>
                    </a:xfrm>
                    <a:prstGeom prst="rect">
                      <a:avLst/>
                    </a:prstGeom>
                    <a:noFill/>
                    <a:ln w="9525">
                      <a:noFill/>
                      <a:miter lim="800000"/>
                      <a:headEnd/>
                      <a:tailEnd/>
                    </a:ln>
                  </pic:spPr>
                </pic:pic>
              </a:graphicData>
            </a:graphic>
          </wp:inline>
        </w:drawing>
      </w:r>
      <w:r>
        <w:rPr>
          <w:noProof/>
          <w:lang w:eastAsia="fr-FR"/>
        </w:rPr>
        <w:drawing>
          <wp:inline distT="0" distB="0" distL="0" distR="0">
            <wp:extent cx="1127362" cy="1160060"/>
            <wp:effectExtent l="19050" t="0" r="0" b="0"/>
            <wp:docPr id="4" name="Image 4" descr="C:\Users\user\Pictures\2019-01-06\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Pictures\2019-01-06\008.jpg"/>
                    <pic:cNvPicPr>
                      <a:picLocks noChangeAspect="1" noChangeArrowheads="1"/>
                    </pic:cNvPicPr>
                  </pic:nvPicPr>
                  <pic:blipFill>
                    <a:blip r:embed="rId11" cstate="print"/>
                    <a:srcRect/>
                    <a:stretch>
                      <a:fillRect/>
                    </a:stretch>
                  </pic:blipFill>
                  <pic:spPr bwMode="auto">
                    <a:xfrm>
                      <a:off x="0" y="0"/>
                      <a:ext cx="1127578" cy="1160282"/>
                    </a:xfrm>
                    <a:prstGeom prst="rect">
                      <a:avLst/>
                    </a:prstGeom>
                    <a:noFill/>
                    <a:ln w="9525">
                      <a:noFill/>
                      <a:miter lim="800000"/>
                      <a:headEnd/>
                      <a:tailEnd/>
                    </a:ln>
                  </pic:spPr>
                </pic:pic>
              </a:graphicData>
            </a:graphic>
          </wp:inline>
        </w:drawing>
      </w:r>
    </w:p>
    <w:p w:rsidR="008B5E2A" w:rsidRDefault="00191B1A" w:rsidP="00E74A7F">
      <w:pPr>
        <w:pStyle w:val="Sansinterligne"/>
        <w:jc w:val="both"/>
      </w:pPr>
      <w:r>
        <w:t>Douches</w:t>
      </w:r>
      <w:r w:rsidR="007D0AEA">
        <w:t xml:space="preserve"> publiques</w:t>
      </w:r>
    </w:p>
    <w:p w:rsidR="00356322" w:rsidRPr="00085FE6" w:rsidRDefault="00356322" w:rsidP="00E74A7F">
      <w:pPr>
        <w:pStyle w:val="Sansinterligne"/>
        <w:jc w:val="both"/>
        <w:rPr>
          <w:b/>
        </w:rPr>
      </w:pPr>
      <w:r w:rsidRPr="00085FE6">
        <w:rPr>
          <w:b/>
        </w:rPr>
        <w:t>Atelier</w:t>
      </w:r>
    </w:p>
    <w:p w:rsidR="00CC098B" w:rsidRDefault="00356322" w:rsidP="00E74A7F">
      <w:pPr>
        <w:pStyle w:val="Sansinterligne"/>
        <w:jc w:val="both"/>
      </w:pPr>
      <w:r>
        <w:t xml:space="preserve">Un atelier sur l’éducation et la santé s’est déroulé au mois de décembre dernier.la particularité de cet atelier pour nous est que l’assistance a reconnu les efforts de chlorophylle dans la ville d’Ingall. Après l’atelier 3 équipes ont été formé pour mener une sensibilisation dans la ville. Deux thèmes sont développés au cours de ces séances de sensibilisation. </w:t>
      </w:r>
    </w:p>
    <w:p w:rsidR="003B6D1E" w:rsidRDefault="00085FE6" w:rsidP="00356322">
      <w:pPr>
        <w:pStyle w:val="Sansinterligne"/>
        <w:numPr>
          <w:ilvl w:val="0"/>
          <w:numId w:val="2"/>
        </w:numPr>
        <w:jc w:val="both"/>
      </w:pPr>
      <w:r>
        <w:rPr>
          <w:b/>
        </w:rPr>
        <w:t>la</w:t>
      </w:r>
      <w:r w:rsidR="00356322" w:rsidRPr="00085FE6">
        <w:rPr>
          <w:b/>
        </w:rPr>
        <w:t xml:space="preserve"> santé</w:t>
      </w:r>
      <w:r w:rsidR="00356322">
        <w:t xml:space="preserve"> : nous </w:t>
      </w:r>
      <w:r>
        <w:t>avions sensibilisé les habitants des différents quartiers sur la nécessité de construire un hôpital à Ingall. Cela s’explique par le nombre important d’évacuations sur Agadez. Certaines évacuations ne sont pas urgentes mais pour manque d’agents qualifiés c’est une obligation pour les responsables du centre de santé de le faire. On note aussi une insuffisance de salles d’hospitalisations. Les patients sont couchés à même le sol sous les arbres et à l’ombre des murs du CSI. Certains patients sont relâchés pour permettre à ceux qui sont gravement malades d’occupé les quelques lits.</w:t>
      </w:r>
      <w:r w:rsidR="006962EA">
        <w:t xml:space="preserve"> Quelques tante en </w:t>
      </w:r>
      <w:r w:rsidR="003B6D1E">
        <w:t>bâches</w:t>
      </w:r>
      <w:r w:rsidR="006962EA">
        <w:t xml:space="preserve"> sont </w:t>
      </w:r>
      <w:r w:rsidR="003B6D1E">
        <w:t>dressés</w:t>
      </w:r>
      <w:r w:rsidR="006962EA">
        <w:t xml:space="preserve"> pour trouvé en partie une solution</w:t>
      </w:r>
      <w:r w:rsidR="003B6D1E">
        <w:t xml:space="preserve">. </w:t>
      </w:r>
    </w:p>
    <w:p w:rsidR="00356322" w:rsidRDefault="003B6D1E" w:rsidP="00356322">
      <w:pPr>
        <w:pStyle w:val="Sansinterligne"/>
        <w:numPr>
          <w:ilvl w:val="0"/>
          <w:numId w:val="2"/>
        </w:numPr>
        <w:jc w:val="both"/>
      </w:pPr>
      <w:r>
        <w:rPr>
          <w:b/>
        </w:rPr>
        <w:t>L’éducation </w:t>
      </w:r>
      <w:r w:rsidRPr="003B6D1E">
        <w:t>:</w:t>
      </w:r>
      <w:r>
        <w:t xml:space="preserve"> la sensibilisation porte sur le fonctionnement des organisations des parents d’élèves. Il est alors temps pour les parents d’élèves de collaborer avec leurs représentants. Les parents doivent participer aux réunions, paient leurs cotisations et suivent pas à pas</w:t>
      </w:r>
      <w:r w:rsidR="008A150F">
        <w:t xml:space="preserve"> la scolarité de leurs enfants.</w:t>
      </w:r>
      <w:r w:rsidR="00390B89">
        <w:t xml:space="preserve"> Une l’équipe de plaidoyer composé de tous les partenaires de la mairie dont Chlorophylle a été mis en place. Nous avions pour mission d’expliquer aux autorités administratives l’enjeu afin d’avoir leur adhésion. Ensuite nous allons nous rendre auprès des autorités régionales et nationales. Une fois la cause entendu</w:t>
      </w:r>
      <w:r w:rsidR="008B5E2A">
        <w:t>e</w:t>
      </w:r>
      <w:r w:rsidR="00390B89">
        <w:t>, nous allons chercher des financements pour la construction de l’hôpital, son équipement en personnels et matériels. Pour les organisations des parents d’élèves, nous allons chercher des financements pour sensibiliser et former ces organisations dans tout le département d’Ingll.</w:t>
      </w:r>
    </w:p>
    <w:p w:rsidR="00085FE6" w:rsidRDefault="00085FE6" w:rsidP="00085FE6">
      <w:pPr>
        <w:pStyle w:val="Sansinterligne"/>
        <w:ind w:left="720"/>
        <w:jc w:val="both"/>
      </w:pPr>
    </w:p>
    <w:p w:rsidR="00356322" w:rsidRDefault="00356322" w:rsidP="00356322">
      <w:pPr>
        <w:pStyle w:val="Sansinterligne"/>
        <w:ind w:left="720"/>
        <w:jc w:val="both"/>
      </w:pPr>
    </w:p>
    <w:p w:rsidR="006614A2" w:rsidRDefault="006614A2" w:rsidP="00AD3BED">
      <w:pPr>
        <w:pStyle w:val="Sansinterligne"/>
      </w:pPr>
    </w:p>
    <w:p w:rsidR="00AD3BED" w:rsidRDefault="00AD3BED"/>
    <w:sectPr w:rsidR="00AD3BED" w:rsidSect="00AD3BED">
      <w:pgSz w:w="11906" w:h="16838"/>
      <w:pgMar w:top="426"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54492"/>
    <w:multiLevelType w:val="hybridMultilevel"/>
    <w:tmpl w:val="79287EA2"/>
    <w:lvl w:ilvl="0" w:tplc="CA4A2922">
      <w:start w:val="1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47A958BD"/>
    <w:multiLevelType w:val="hybridMultilevel"/>
    <w:tmpl w:val="80FCBF4A"/>
    <w:lvl w:ilvl="0" w:tplc="48763DCE">
      <w:start w:val="1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rsids>
    <w:rsidRoot w:val="00AD3BED"/>
    <w:rsid w:val="00055318"/>
    <w:rsid w:val="00085FE6"/>
    <w:rsid w:val="00191B1A"/>
    <w:rsid w:val="0028315D"/>
    <w:rsid w:val="002D7104"/>
    <w:rsid w:val="00334E5D"/>
    <w:rsid w:val="00356322"/>
    <w:rsid w:val="00390B89"/>
    <w:rsid w:val="003B6D1E"/>
    <w:rsid w:val="005449E1"/>
    <w:rsid w:val="00546094"/>
    <w:rsid w:val="005F2356"/>
    <w:rsid w:val="006614A2"/>
    <w:rsid w:val="006962EA"/>
    <w:rsid w:val="006E02E3"/>
    <w:rsid w:val="00771640"/>
    <w:rsid w:val="007854AF"/>
    <w:rsid w:val="007D0AEA"/>
    <w:rsid w:val="007E6CDC"/>
    <w:rsid w:val="008343E9"/>
    <w:rsid w:val="008A150F"/>
    <w:rsid w:val="008B5E2A"/>
    <w:rsid w:val="00976C84"/>
    <w:rsid w:val="009B30C7"/>
    <w:rsid w:val="009C65ED"/>
    <w:rsid w:val="00A46334"/>
    <w:rsid w:val="00AD3BED"/>
    <w:rsid w:val="00B14BF9"/>
    <w:rsid w:val="00C11AA6"/>
    <w:rsid w:val="00C76759"/>
    <w:rsid w:val="00CC098B"/>
    <w:rsid w:val="00D71106"/>
    <w:rsid w:val="00DA53DB"/>
    <w:rsid w:val="00E51A3E"/>
    <w:rsid w:val="00E74A7F"/>
    <w:rsid w:val="00E8492A"/>
    <w:rsid w:val="00F3330A"/>
    <w:rsid w:val="00F40A4B"/>
    <w:rsid w:val="00F67F8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492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AD3BED"/>
    <w:pPr>
      <w:spacing w:after="0" w:line="240" w:lineRule="auto"/>
    </w:pPr>
  </w:style>
  <w:style w:type="table" w:styleId="Grilledutableau">
    <w:name w:val="Table Grid"/>
    <w:basedOn w:val="TableauNormal"/>
    <w:uiPriority w:val="59"/>
    <w:rsid w:val="00C767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8B5E2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B5E2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189</TotalTime>
  <Pages>2</Pages>
  <Words>812</Words>
  <Characters>4468</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24</cp:revision>
  <dcterms:created xsi:type="dcterms:W3CDTF">2019-01-06T09:35:00Z</dcterms:created>
  <dcterms:modified xsi:type="dcterms:W3CDTF">2019-01-06T18:37:00Z</dcterms:modified>
</cp:coreProperties>
</file>