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embeddings/oleObject1.xlsx" ContentType="application/vnd.openxmlformats-officedocument.spreadsheetml.sheet"/>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8.png" ContentType="image/png"/>
  <Override PartName="/word/media/image7.png" ContentType="image/png"/>
  <Override PartName="/word/media/image5.wmf" ContentType="image/x-wmf"/>
  <Override PartName="/word/media/image2.jpeg" ContentType="image/jpeg"/>
  <Override PartName="/word/media/image3.jpeg" ContentType="image/jpeg"/>
  <Override PartName="/word/media/image6.png" ContentType="image/png"/>
  <Override PartName="/word/media/image1.jpeg" ContentType="image/jpeg"/>
  <Override PartName="/word/media/image4.emf" ContentType="image/x-emf"/>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jc w:val="center"/>
        <w:rPr/>
      </w:pPr>
      <w:r>
        <w:rPr/>
        <w:drawing>
          <wp:inline distT="0" distB="0" distL="0" distR="0">
            <wp:extent cx="744220" cy="447040"/>
            <wp:effectExtent l="0" t="0" r="0" b="0"/>
            <wp:docPr id="1" name="Picture" descr="C:\Users\jarryl\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jarryl\Desktop\th.jpg"/>
                    <pic:cNvPicPr>
                      <a:picLocks noChangeAspect="1" noChangeArrowheads="1"/>
                    </pic:cNvPicPr>
                  </pic:nvPicPr>
                  <pic:blipFill>
                    <a:blip r:embed="rId2"/>
                    <a:stretch>
                      <a:fillRect/>
                    </a:stretch>
                  </pic:blipFill>
                  <pic:spPr bwMode="auto">
                    <a:xfrm>
                      <a:off x="0" y="0"/>
                      <a:ext cx="744220" cy="447040"/>
                    </a:xfrm>
                    <a:prstGeom prst="rect">
                      <a:avLst/>
                    </a:prstGeom>
                  </pic:spPr>
                </pic:pic>
              </a:graphicData>
            </a:graphic>
          </wp:inline>
        </w:drawing>
      </w:r>
      <w:r>
        <w:rPr/>
        <w:t xml:space="preserve"> </w:t>
      </w:r>
      <w:r>
        <w:rPr>
          <w:rFonts w:ascii="Cambria" w:hAnsi="Cambria"/>
          <w:b/>
          <w:color w:val="244061"/>
        </w:rPr>
        <w:t xml:space="preserve">Commune Rurale d’Ingall (Niger) - Chlorophylle France </w:t>
      </w:r>
      <w:r>
        <w:rPr>
          <w:rFonts w:ascii="Cambria" w:hAnsi="Cambria"/>
          <w:b/>
          <w:color w:val="244061"/>
        </w:rPr>
        <w:drawing>
          <wp:inline distT="0" distB="0" distL="0" distR="0">
            <wp:extent cx="570865" cy="542290"/>
            <wp:effectExtent l="0" t="0" r="0" b="0"/>
            <wp:docPr id="2" name="Image1" descr="C:\Users\jarryl\Desktop\chlor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C:\Users\jarryl\Desktop\chlorologo.jpg"/>
                    <pic:cNvPicPr>
                      <a:picLocks noChangeAspect="1" noChangeArrowheads="1"/>
                    </pic:cNvPicPr>
                  </pic:nvPicPr>
                  <pic:blipFill>
                    <a:blip r:embed="rId3"/>
                    <a:stretch>
                      <a:fillRect/>
                    </a:stretch>
                  </pic:blipFill>
                  <pic:spPr bwMode="auto">
                    <a:xfrm>
                      <a:off x="0" y="0"/>
                      <a:ext cx="570865" cy="542290"/>
                    </a:xfrm>
                    <a:prstGeom prst="rect">
                      <a:avLst/>
                    </a:prstGeom>
                  </pic:spPr>
                </pic:pic>
              </a:graphicData>
            </a:graphic>
          </wp:inline>
        </w:drawing>
      </w:r>
    </w:p>
    <w:p>
      <w:pPr>
        <w:pStyle w:val="Normal1"/>
        <w:rPr>
          <w:color w:val="244061"/>
        </w:rPr>
      </w:pPr>
      <w:r>
        <w:rPr>
          <w:color w:val="244061"/>
        </w:rPr>
      </w:r>
    </w:p>
    <w:tbl>
      <w:tblPr>
        <w:tblW w:w="10184" w:type="dxa"/>
        <w:jc w:val="left"/>
        <w:tblInd w:w="-60"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05" w:type="dxa"/>
          <w:left w:w="-7" w:type="dxa"/>
          <w:bottom w:w="105" w:type="dxa"/>
          <w:right w:w="105" w:type="dxa"/>
        </w:tblCellMar>
        <w:tblLook w:val="04a0"/>
      </w:tblPr>
      <w:tblGrid>
        <w:gridCol w:w="10184"/>
      </w:tblGrid>
      <w:tr>
        <w:trPr/>
        <w:tc>
          <w:tcPr>
            <w:tcW w:w="1018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FFFFFF" w:val="clear"/>
            <w:tcMar>
              <w:left w:w="-7" w:type="dxa"/>
            </w:tcMar>
          </w:tcPr>
          <w:p>
            <w:pPr>
              <w:pStyle w:val="Titre21"/>
              <w:jc w:val="center"/>
              <w:rPr>
                <w:sz w:val="32"/>
                <w:szCs w:val="32"/>
              </w:rPr>
            </w:pPr>
            <w:r>
              <w:rPr>
                <w:b/>
                <w:color w:val="244061"/>
                <w:sz w:val="32"/>
                <w:szCs w:val="32"/>
              </w:rPr>
              <w:t>ACCÈS A L'EAU ET A L'ASSAINISSEMENT AU PROFIT DE LA POPULATION DE LA COMMUNE D'INGALL</w:t>
            </w:r>
          </w:p>
          <w:p>
            <w:pPr>
              <w:pStyle w:val="Titre21"/>
              <w:jc w:val="center"/>
              <w:rPr/>
            </w:pPr>
            <w:r>
              <w:rPr>
                <w:b/>
                <w:color w:val="244061"/>
                <w:sz w:val="32"/>
                <w:szCs w:val="32"/>
              </w:rPr>
              <w:t>2017-2018</w:t>
            </w:r>
          </w:p>
          <w:p>
            <w:pPr>
              <w:pStyle w:val="Normal1"/>
              <w:jc w:val="center"/>
              <w:rPr/>
            </w:pPr>
            <w:r>
              <w:rPr>
                <w:b/>
                <w:color w:val="244061"/>
                <w:sz w:val="32"/>
                <w:szCs w:val="32"/>
              </w:rPr>
              <w:t>Rapport intermédiaire janvier à décembre 2017</w:t>
            </w:r>
          </w:p>
        </w:tc>
      </w:tr>
    </w:tbl>
    <w:p>
      <w:pPr>
        <w:pStyle w:val="Normal1"/>
        <w:rPr/>
      </w:pPr>
      <w:r>
        <w:rPr/>
        <w:drawing>
          <wp:anchor behindDoc="0" distT="0" distB="0" distL="0" distR="0" simplePos="0" locked="0" layoutInCell="1" allowOverlap="1" relativeHeight="2">
            <wp:simplePos x="0" y="0"/>
            <wp:positionH relativeFrom="column">
              <wp:posOffset>1433830</wp:posOffset>
            </wp:positionH>
            <wp:positionV relativeFrom="paragraph">
              <wp:posOffset>95885</wp:posOffset>
            </wp:positionV>
            <wp:extent cx="4062730" cy="3047365"/>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tretch>
                      <a:fillRect/>
                    </a:stretch>
                  </pic:blipFill>
                  <pic:spPr bwMode="auto">
                    <a:xfrm>
                      <a:off x="0" y="0"/>
                      <a:ext cx="4062730" cy="3047365"/>
                    </a:xfrm>
                    <a:prstGeom prst="rect">
                      <a:avLst/>
                    </a:prstGeom>
                  </pic:spPr>
                </pic:pic>
              </a:graphicData>
            </a:graphic>
          </wp:anchor>
        </w:drawing>
      </w:r>
    </w:p>
    <w:p>
      <w:pPr>
        <w:pStyle w:val="Normal1"/>
        <w:rPr/>
      </w:pPr>
      <w:r>
        <w:rPr/>
      </w:r>
    </w:p>
    <w:p>
      <w:pPr>
        <w:pStyle w:val="Normal1"/>
        <w:rPr>
          <w:color w:val="244061"/>
        </w:rPr>
      </w:pPr>
      <w:r>
        <w:rPr>
          <w:color w:val="244061"/>
        </w:rPr>
      </w:r>
    </w:p>
    <w:p>
      <w:pPr>
        <w:pStyle w:val="Normal1"/>
        <w:jc w:val="center"/>
        <w:rPr/>
      </w:pPr>
      <w:r>
        <w:rPr/>
      </w:r>
    </w:p>
    <w:p>
      <w:pPr>
        <w:pStyle w:val="Normal1"/>
        <w:jc w:val="center"/>
        <w:rPr>
          <w:color w:val="244061"/>
        </w:rPr>
      </w:pPr>
      <w:r>
        <w:rPr>
          <w:color w:val="244061"/>
        </w:rPr>
      </w:r>
    </w:p>
    <w:p>
      <w:pPr>
        <w:pStyle w:val="Normal1"/>
        <w:jc w:val="center"/>
        <w:rPr>
          <w:rFonts w:ascii="Arial" w:hAnsi="Arial"/>
          <w:sz w:val="40"/>
          <w:szCs w:val="40"/>
        </w:rPr>
      </w:pPr>
      <w:r>
        <w:rPr>
          <w:rFonts w:ascii="Arial" w:hAnsi="Arial"/>
          <w:sz w:val="40"/>
          <w:szCs w:val="40"/>
        </w:rPr>
      </w:r>
    </w:p>
    <w:p>
      <w:pPr>
        <w:pStyle w:val="Normal1"/>
        <w:jc w:val="center"/>
        <w:rPr>
          <w:rFonts w:ascii="Arial" w:hAnsi="Arial"/>
          <w:sz w:val="40"/>
          <w:szCs w:val="40"/>
        </w:rPr>
      </w:pPr>
      <w:r>
        <w:rPr>
          <w:rFonts w:ascii="Arial" w:hAnsi="Arial"/>
          <w:sz w:val="40"/>
          <w:szCs w:val="40"/>
        </w:rPr>
      </w:r>
    </w:p>
    <w:p>
      <w:pPr>
        <w:pStyle w:val="Normal1"/>
        <w:jc w:val="center"/>
        <w:rPr>
          <w:rFonts w:ascii="Arial" w:hAnsi="Arial"/>
          <w:sz w:val="40"/>
          <w:szCs w:val="40"/>
        </w:rPr>
      </w:pPr>
      <w:r>
        <w:rPr>
          <w:rFonts w:ascii="Arial" w:hAnsi="Arial"/>
          <w:sz w:val="40"/>
          <w:szCs w:val="40"/>
        </w:rPr>
      </w:r>
    </w:p>
    <w:p>
      <w:pPr>
        <w:pStyle w:val="Normal1"/>
        <w:jc w:val="center"/>
        <w:rPr>
          <w:rFonts w:ascii="Arial" w:hAnsi="Arial"/>
          <w:sz w:val="40"/>
          <w:szCs w:val="40"/>
        </w:rPr>
      </w:pPr>
      <w:r>
        <w:rPr>
          <w:rFonts w:ascii="Arial" w:hAnsi="Arial"/>
          <w:sz w:val="40"/>
          <w:szCs w:val="40"/>
        </w:rPr>
      </w:r>
    </w:p>
    <w:p>
      <w:pPr>
        <w:pStyle w:val="Normal1"/>
        <w:jc w:val="center"/>
        <w:rPr>
          <w:rFonts w:ascii="Arial" w:hAnsi="Arial"/>
          <w:sz w:val="40"/>
          <w:szCs w:val="40"/>
        </w:rPr>
      </w:pPr>
      <w:r>
        <w:rPr>
          <w:rFonts w:ascii="Arial" w:hAnsi="Arial"/>
          <w:sz w:val="40"/>
          <w:szCs w:val="40"/>
        </w:rPr>
      </w:r>
    </w:p>
    <w:p>
      <w:pPr>
        <w:pStyle w:val="Normal1"/>
        <w:jc w:val="center"/>
        <w:rPr>
          <w:rFonts w:ascii="Arial" w:hAnsi="Arial"/>
          <w:sz w:val="40"/>
          <w:szCs w:val="40"/>
        </w:rPr>
      </w:pPr>
      <w:r>
        <w:rPr>
          <w:rFonts w:ascii="Arial" w:hAnsi="Arial"/>
          <w:sz w:val="40"/>
          <w:szCs w:val="40"/>
        </w:rPr>
      </w:r>
    </w:p>
    <w:p>
      <w:pPr>
        <w:pStyle w:val="Normal1"/>
        <w:jc w:val="center"/>
        <w:rPr>
          <w:rFonts w:ascii="Arial" w:hAnsi="Arial"/>
          <w:sz w:val="40"/>
          <w:szCs w:val="40"/>
        </w:rPr>
      </w:pPr>
      <w:r>
        <w:rPr>
          <w:rFonts w:ascii="Arial" w:hAnsi="Arial"/>
          <w:sz w:val="40"/>
          <w:szCs w:val="40"/>
        </w:rPr>
      </w:r>
    </w:p>
    <w:p>
      <w:pPr>
        <w:pStyle w:val="Normal1"/>
        <w:jc w:val="center"/>
        <w:rPr>
          <w:rFonts w:ascii="Arial" w:hAnsi="Arial"/>
          <w:sz w:val="40"/>
          <w:szCs w:val="40"/>
        </w:rPr>
      </w:pPr>
      <w:r>
        <w:rPr>
          <w:rFonts w:ascii="Arial" w:hAnsi="Arial"/>
          <w:sz w:val="40"/>
          <w:szCs w:val="40"/>
        </w:rPr>
      </w:r>
    </w:p>
    <w:p>
      <w:pPr>
        <w:pStyle w:val="Titre1"/>
        <w:rPr>
          <w:color w:val="244061" w:themeColor="accent1" w:themeShade="80"/>
        </w:rPr>
      </w:pPr>
      <w:r>
        <w:rPr>
          <w:color w:val="003366" w:themeShade="80"/>
        </w:rPr>
        <w:t>L’organisation des activités</w:t>
      </w:r>
    </w:p>
    <w:p>
      <w:pPr>
        <w:pStyle w:val="NoSpacing"/>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20"/>
          <w:szCs w:val="20"/>
        </w:rPr>
        <w:t>L’agent de Chlorophylle Ibrahim Alanga est en charge de la mise en œuvre et du suivi des activités de salubrité. Outre les moyens administratifs dont il dispose, il peut également mobiliser des moyens humains selon les activités, tâcherons et manœuvres pour la construction, Femmes relais pour la sensibilisation, jardiniers pour la pépinière, etc., mais aussi l’agent de l’assainissement de la Mairie à In Gall qui valide techniquement les infrastructures hydrauliques.</w:t>
      </w:r>
    </w:p>
    <w:p>
      <w:pPr>
        <w:pStyle w:val="NoSpacing"/>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20"/>
          <w:szCs w:val="20"/>
        </w:rPr>
        <w:t>Pour les autres ouvrages hydrauliques (rue pavées, latrines, etc.), c’est le comité de salubrité qui décide des emplacements, du nombre, et l’Agent de Chlorophylle qui met en œuvre les activités en partenariats avec les autorités et partenaires.</w:t>
      </w:r>
    </w:p>
    <w:p>
      <w:pPr>
        <w:pStyle w:val="NoSpacing"/>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20"/>
          <w:szCs w:val="20"/>
        </w:rPr>
        <w:t>Pour la sensibilisation, les femmes Relais sont formées auprès du centre de Santé et notamment l’agent de l’assainissement et l'assistante sociale.</w:t>
      </w:r>
    </w:p>
    <w:p>
      <w:pPr>
        <w:pStyle w:val="Normal1"/>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20"/>
          <w:szCs w:val="20"/>
        </w:rPr>
        <w:t>Le calendrier de mise en œuvre est découpé en programmation (période de 6 mois) à la fin de laquelle le comité de salubrité se réunit, valide les activités passées et prépare les activités de la prochaine programmation.</w:t>
      </w:r>
    </w:p>
    <w:p>
      <w:pPr>
        <w:pStyle w:val="Normal1"/>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20"/>
          <w:szCs w:val="20"/>
        </w:rPr>
        <w:t>Ibrahim Alanga a été équipé d’un nouvel ordinateur portable acheté sur place courant 2017.</w:t>
      </w:r>
    </w:p>
    <w:p>
      <w:pPr>
        <w:pStyle w:val="Normal1"/>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20"/>
          <w:szCs w:val="20"/>
        </w:rPr>
        <w:t>Une plaque en métal au couleur du projet avec l’ensemble des partenaires a été réalisée et placée à l’entrée de la ville.</w:t>
      </w:r>
    </w:p>
    <w:p>
      <w:pPr>
        <w:pStyle w:val="Titre1"/>
        <w:rPr>
          <w:color w:val="244061" w:themeColor="accent1" w:themeShade="80"/>
        </w:rPr>
      </w:pPr>
      <w:r>
        <w:rPr>
          <w:color w:val="003366" w:themeShade="80"/>
        </w:rPr>
        <w:t>Les activités</w:t>
      </w:r>
    </w:p>
    <w:p>
      <w:pPr>
        <w:pStyle w:val="Normal1"/>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20"/>
          <w:szCs w:val="20"/>
        </w:rPr>
        <w:t>La mairie rencontre un problème interne très sérieux depuis janvier. Cette situation est née depuis que certains conseillers étaient en désaccord avec le maire issu de leur rang. Une inspection est ordonnée depuis la présidence au niveau de plusieurs communes dont Ingall. Après l’inspection, le maire, son adjoint et le receveur municipal sont convoqué à Niamey. La mairie se trouve ainsi bloqué jusqu’en juillet. En août un nouveau maire a été élu.</w:t>
      </w:r>
    </w:p>
    <w:p>
      <w:pPr>
        <w:pStyle w:val="Normal1"/>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20"/>
          <w:szCs w:val="20"/>
        </w:rPr>
        <w:t>Ce dernier a ainsi pu organisé fin septembre un comité de salubrité, dont le PV est joint en annexe.</w:t>
      </w:r>
    </w:p>
    <w:p>
      <w:pPr>
        <w:pStyle w:val="Normal1"/>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20"/>
          <w:szCs w:val="20"/>
        </w:rPr>
        <w:t>Une mission de Chlorophylle France a eu lieu du 16 septembre au 1</w:t>
      </w:r>
      <w:r>
        <w:rPr>
          <w:rFonts w:ascii="Calibri" w:hAnsi="Calibri" w:asciiTheme="minorHAnsi" w:hAnsiTheme="minorHAnsi"/>
          <w:color w:val="003366" w:themeShade="80"/>
          <w:sz w:val="20"/>
          <w:szCs w:val="20"/>
          <w:vertAlign w:val="superscript"/>
        </w:rPr>
        <w:t>er</w:t>
      </w:r>
      <w:r>
        <w:rPr>
          <w:rFonts w:ascii="Calibri" w:hAnsi="Calibri" w:asciiTheme="minorHAnsi" w:hAnsiTheme="minorHAnsi"/>
          <w:color w:val="003366" w:themeShade="80"/>
          <w:sz w:val="20"/>
          <w:szCs w:val="20"/>
        </w:rPr>
        <w:t xml:space="preserve"> octobre 2017, le CR est joint en annexe.</w:t>
      </w:r>
    </w:p>
    <w:p>
      <w:pPr>
        <w:pStyle w:val="Normal1"/>
        <w:spacing w:before="120" w:after="0"/>
        <w:rPr>
          <w:color w:val="003366"/>
        </w:rPr>
      </w:pPr>
      <w:r>
        <w:rPr>
          <w:rFonts w:ascii="Calibri" w:hAnsi="Calibri" w:asciiTheme="minorHAnsi" w:hAnsiTheme="minorHAnsi"/>
          <w:color w:val="003366" w:themeShade="80"/>
          <w:sz w:val="20"/>
          <w:szCs w:val="20"/>
        </w:rPr>
        <w:t>Chlorophylle a participé à la fête nationale du 3 Août, en transportant les participants qui doivent planter 3 000 plants à Tchimaghayen (30 km d’Ingall sur le goudron).</w:t>
      </w:r>
    </w:p>
    <w:p>
      <w:pPr>
        <w:pStyle w:val="Titre2"/>
        <w:ind w:left="227" w:right="0" w:hanging="0"/>
        <w:rPr>
          <w:b/>
          <w:b/>
          <w:bCs/>
          <w:color w:val="003366"/>
        </w:rPr>
      </w:pPr>
      <w:r>
        <w:rPr>
          <w:b/>
          <w:bCs/>
          <w:color w:val="003366"/>
          <w:sz w:val="22"/>
          <w:szCs w:val="22"/>
        </w:rPr>
        <w:t>- le renforcement des capacités des acteurs</w:t>
      </w:r>
    </w:p>
    <w:p>
      <w:pPr>
        <w:pStyle w:val="Normal1"/>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20"/>
          <w:szCs w:val="20"/>
        </w:rPr>
        <w:t>Différentes rencontres ont été faites au lancement de cette phase en janvier 2017, le directeur de l’école Medersa, assistante sociale et le responsable du Centre de santé, le directeur de l’école traditionnel, l’agent communal de l’environnement. Ceci en vue de faire un point sur les infrastructures de salubrité dans les divers établissements et de programmer les équipements nécessaires.</w:t>
      </w:r>
    </w:p>
    <w:p>
      <w:pPr>
        <w:pStyle w:val="Normal1"/>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20"/>
          <w:szCs w:val="20"/>
        </w:rPr>
        <w:t>En février une rencontre avec le Maire a permis de faire le point sur les activités. En mars rencontre avec le SG de la Préfecture, pour faire le point sur les activités.</w:t>
      </w:r>
    </w:p>
    <w:p>
      <w:pPr>
        <w:pStyle w:val="Normal1"/>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20"/>
          <w:szCs w:val="20"/>
        </w:rPr>
        <w:t>Une formation menée par le ministère de l’hydraulique en charge des questions d’assainissement, en hygiène générale s’est déroulée dans la salle de réunion de la mairie d’Ingall. Tous les acteurs dans le domaine sont inscrits à la formation sauf notre association. En effet le nouveau directeur départemental de l’hydraulique ne connaissait pas nos activités.</w:t>
      </w:r>
    </w:p>
    <w:p>
      <w:pPr>
        <w:pStyle w:val="Normal1"/>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b/>
          <w:color w:val="003366" w:themeShade="80"/>
          <w:sz w:val="20"/>
          <w:szCs w:val="20"/>
        </w:rPr>
        <w:t>Formation en hygiène et assainissement et gestion des déchets municipaux des collectivités territoriales</w:t>
      </w:r>
      <w:r>
        <w:rPr>
          <w:rFonts w:ascii="Calibri" w:hAnsi="Calibri" w:asciiTheme="minorHAnsi" w:hAnsiTheme="minorHAnsi"/>
          <w:color w:val="003366" w:themeShade="80"/>
          <w:sz w:val="20"/>
          <w:szCs w:val="20"/>
        </w:rPr>
        <w:t> ; notre agent a été désigné avec 5 autres participants pour suivre une formation à Agadez. 6 jours durant avec des exercices pratiques qui reflètent la réalité des communes. Une formation qui vas renforcer non seulement les connaissances mais surtout va aider à identifier les partenaires financiers au Niger.</w:t>
      </w:r>
    </w:p>
    <w:p>
      <w:pPr>
        <w:pStyle w:val="Normal1"/>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b/>
          <w:color w:val="003366" w:themeShade="80"/>
          <w:sz w:val="20"/>
          <w:szCs w:val="20"/>
        </w:rPr>
        <w:t>Formation en assistante sociale</w:t>
      </w:r>
      <w:r>
        <w:rPr>
          <w:rFonts w:ascii="Calibri" w:hAnsi="Calibri" w:asciiTheme="minorHAnsi" w:hAnsiTheme="minorHAnsi"/>
          <w:color w:val="003366" w:themeShade="80"/>
          <w:sz w:val="20"/>
          <w:szCs w:val="20"/>
        </w:rPr>
        <w:t> ; l’objectif général de cette formation est d’amener les femmes relais à être capable d’informer et sensibiliser les mères d’enfants en pratiques familiales essentielles. La formation a débuté par le module 1 qui parle de l’allaitement maternel exclusif de la naissance jusqu’à 6 mois. Les participantes ont su les avantages et les contraintes de cette formation. Des réponses appropriées ont été apporté à toutes les inquiétudes des participantes. Puis le module 2 a porté sur l’alimentation des enfants de 6 à 24 mois. ANJE (alimentation des jeunes enfants) est l’introduction progressive des aliments (comme la bouillie, à base de céréale et produits locaux fruits et légume) dans l’alimentation du jeune enfant. Les participantes ont aussi eu connaissance de la fréquence des repas dans la journée, la façon de préparer les petits plans du nourrisson pour un sevrage réussi. Quant au module 3 sur le lavage des mains à l’eau et au savon. Un exercice sur le lavage des mains à l’eau et au savon, les étages du lavage et les techniques. Appliquer cela dans l’éducation des enfants pour les protéger de beaucoup de maladies infectieuses et parasitaires ; comme la diarrhée, la dysenterie, le choléra, la fièvre typhoïde, etc.</w:t>
      </w:r>
    </w:p>
    <w:p>
      <w:pPr>
        <w:pStyle w:val="Normal1"/>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b/>
          <w:color w:val="003366" w:themeShade="80"/>
          <w:sz w:val="20"/>
          <w:szCs w:val="20"/>
        </w:rPr>
        <w:t>Formation en hygiène général et assainissement</w:t>
      </w:r>
      <w:r>
        <w:rPr>
          <w:rFonts w:ascii="Calibri" w:hAnsi="Calibri" w:asciiTheme="minorHAnsi" w:hAnsiTheme="minorHAnsi"/>
          <w:color w:val="003366" w:themeShade="80"/>
          <w:sz w:val="20"/>
          <w:szCs w:val="20"/>
        </w:rPr>
        <w:t>, 2 jours durant les 15 participantes ont eu à acquérir de notions sur l’hygiène corporelle, vestimentaire et environnementale. Durant la formation, la formatrice (agent d’hygiène et assainissement de la commune rurale) pose des questions aux participantes afin d’évaluer le niveau de compréhension. Des réponses satisfaisantes ont été données par ces dernières. Des séances de jeu de rôle ont été pratiquées pour permettre aux participantes de bien maitriser les avantages et les inconvénients d’une bonne et mauvaise hygiène. Il a aussi été question de l’hygiène environnementale qui permet d’assainir le milieu dans lequel nous vivons pour éviter certaines maladies comme le paludisme, la piqure des reptiles et insectes et aussi respirer un bon air.</w:t>
      </w:r>
    </w:p>
    <w:p>
      <w:pPr>
        <w:pStyle w:val="Normal1"/>
        <w:spacing w:before="120" w:after="0"/>
        <w:rPr>
          <w:color w:val="003366"/>
        </w:rPr>
      </w:pPr>
      <w:r>
        <w:rPr>
          <w:rFonts w:ascii="Calibri" w:hAnsi="Calibri" w:asciiTheme="minorHAnsi" w:hAnsiTheme="minorHAnsi"/>
          <w:b/>
          <w:color w:val="003366" w:themeShade="80"/>
          <w:sz w:val="20"/>
          <w:szCs w:val="20"/>
        </w:rPr>
        <w:t>Formation en informatique</w:t>
      </w:r>
      <w:r>
        <w:rPr>
          <w:rFonts w:ascii="Calibri" w:hAnsi="Calibri" w:asciiTheme="minorHAnsi" w:hAnsiTheme="minorHAnsi"/>
          <w:color w:val="003366" w:themeShade="80"/>
          <w:sz w:val="20"/>
          <w:szCs w:val="20"/>
        </w:rPr>
        <w:t>, comme convenu avec l’agent de développement rural de la commune qui est un technicien en informatique, notre agent a suivi la formation pendant plusieurs jours étalés sur plusieurs mois. La formation est essentiellement sur la gestion sous Microsoft Excel.</w:t>
      </w:r>
    </w:p>
    <w:p>
      <w:pPr>
        <w:pStyle w:val="Titre2"/>
        <w:ind w:left="227" w:right="0" w:hanging="0"/>
        <w:rPr>
          <w:color w:val="003366"/>
        </w:rPr>
      </w:pPr>
      <w:r>
        <w:rPr>
          <w:color w:val="003366"/>
          <w:sz w:val="22"/>
          <w:szCs w:val="22"/>
        </w:rPr>
        <w:t>- Les fosses septiques et Latrines publiques</w:t>
      </w:r>
    </w:p>
    <w:p>
      <w:pPr>
        <w:pStyle w:val="Normal1"/>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20"/>
          <w:szCs w:val="20"/>
        </w:rPr>
        <w:t>90 fosses septiques ont été réalisées. Néanmoins la demande est forte et comme l’organisation de cette activité ne pose aucun problème elle sera poursuivie. La construction de ces fosses est désormais assurée par les mêmes maçons utilisés dans les précédentes phases à travers un jeune entrepreneur de la place. L’agent de chlorophylle suit tout le long de la journée le déroulement des activités sur le terrain afin de faire respecter les normes exigées. Quant à l’agent d’hygiène et assainissement de la mairie, elle fait de temps en temps le tour des chantiers avant et pendant les activités. Ce qui lui permet de rendre compte à la mairie avant les réunions du comité de salubrité. Elle rencontre aussi l’agent de chlorophylle pour confronté les idées après les sorties sur le terrain. Jusque-là la collaboration agent d’hygiène et assainissement, l’agent de chlorophylle et les maçons ne souffre d’aucunes ambiguïtés.</w:t>
      </w:r>
    </w:p>
    <w:p>
      <w:pPr>
        <w:pStyle w:val="Normal1"/>
        <w:tabs>
          <w:tab w:val="right" w:pos="10064" w:leader="none"/>
        </w:tabs>
        <w:spacing w:before="120" w:after="0"/>
        <w:rPr>
          <w:color w:val="003366"/>
        </w:rPr>
      </w:pPr>
      <w:r>
        <w:rPr>
          <w:rFonts w:ascii="Calibri" w:hAnsi="Calibri" w:asciiTheme="minorHAnsi" w:hAnsiTheme="minorHAnsi"/>
          <w:color w:val="003366" w:themeShade="80"/>
          <w:sz w:val="20"/>
          <w:szCs w:val="20"/>
        </w:rPr>
        <w:t>L’agent de l’assainissement du centre de santé a rendu son rapport joint en annexe.</w:t>
      </w:r>
    </w:p>
    <w:p>
      <w:pPr>
        <w:pStyle w:val="Normal1"/>
        <w:tabs>
          <w:tab w:val="right" w:pos="10064" w:leader="none"/>
        </w:tabs>
        <w:spacing w:before="120" w:after="0"/>
        <w:rPr>
          <w:rFonts w:ascii="Calibri" w:hAnsi="Calibri" w:asciiTheme="minorHAnsi" w:hAnsiTheme="minorHAnsi"/>
          <w:color w:themeColor="accent1" w:themeShade="80"/>
          <w:sz w:val="20"/>
          <w:szCs w:val="20"/>
        </w:rPr>
      </w:pPr>
      <w:r>
        <w:rPr>
          <w:rFonts w:asciiTheme="minorHAnsi" w:hAnsiTheme="minorHAnsi" w:ascii="Calibri" w:hAnsi="Calibri"/>
          <w:color w:themeColor="accent1" w:themeShade="80"/>
          <w:sz w:val="20"/>
          <w:szCs w:val="20"/>
        </w:rPr>
      </w:r>
    </w:p>
    <w:p>
      <w:pPr>
        <w:sectPr>
          <w:footerReference w:type="default" r:id="rId5"/>
          <w:type w:val="nextPage"/>
          <w:pgSz w:w="11906" w:h="16838"/>
          <w:pgMar w:left="993" w:right="849" w:header="0" w:top="851" w:footer="132" w:bottom="709" w:gutter="0"/>
          <w:pgNumType w:fmt="decimal"/>
          <w:formProt w:val="false"/>
          <w:textDirection w:val="lrTb"/>
          <w:docGrid w:type="default" w:linePitch="240" w:charSpace="4294961151"/>
        </w:sectPr>
      </w:pPr>
    </w:p>
    <w:p>
      <w:pPr>
        <w:pStyle w:val="Normal1"/>
        <w:jc w:val="both"/>
        <w:rPr>
          <w:rFonts w:ascii="Calibri" w:hAnsi="Calibri" w:asciiTheme="minorHAnsi" w:hAnsiTheme="minorHAnsi"/>
          <w:color w:val="244061" w:themeColor="accent1" w:themeShade="80"/>
          <w:sz w:val="20"/>
          <w:szCs w:val="20"/>
        </w:rPr>
      </w:pPr>
      <w:r>
        <w:rPr>
          <w:rFonts w:ascii="Calibri" w:hAnsi="Calibri" w:asciiTheme="minorHAnsi" w:hAnsiTheme="minorHAnsi"/>
          <w:b/>
          <w:bCs/>
          <w:color w:val="003366" w:themeShade="80"/>
          <w:sz w:val="20"/>
          <w:szCs w:val="20"/>
        </w:rPr>
        <w:t>L</w:t>
      </w:r>
      <w:r>
        <w:rPr>
          <w:rFonts w:ascii="DejaVu Sans" w:hAnsi="DejaVu Sans"/>
          <w:b/>
          <w:bCs/>
          <w:color w:val="003366" w:themeShade="80"/>
          <w:sz w:val="20"/>
          <w:szCs w:val="20"/>
        </w:rPr>
        <w:t>iste des bénéficiaires</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Ahmed Amadan</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Malam Iddar</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Ibrahim maouli</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Acha  Aboulha</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AlbachirWazawagé</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InfiIslo</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MalamGuimbia</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Addou Acha</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KassimZodi</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Nabi Akéfi</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AddouMadaya</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Ibrahim Abdoul</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Mohamed Dilla</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GhaicitouIlattou</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Amannobragaza</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Acka Nabi</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SouréRamou</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BacharHousseini</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Ayayaousmane</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KassimAlamine</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Hadjaraharouna</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Touma akamoti</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Digégaha</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Mariama Indaké</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Malam Mamma</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Ibrahim Boubé</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Zara sidi</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Alkassoum Boussa</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Lalla Egour</w:t>
      </w:r>
    </w:p>
    <w:p>
      <w:pPr>
        <w:pStyle w:val="Normal1"/>
        <w:numPr>
          <w:ilvl w:val="0"/>
          <w:numId w:val="1"/>
        </w:numPr>
        <w:jc w:val="both"/>
        <w:rPr>
          <w:rFonts w:ascii="Calibri" w:hAnsi="Calibri" w:asciiTheme="minorHAnsi" w:hAnsiTheme="minorHAnsi"/>
          <w:color w:val="244061" w:themeColor="accent1" w:themeShade="80"/>
          <w:sz w:val="20"/>
          <w:szCs w:val="20"/>
        </w:rPr>
      </w:pPr>
      <w:r>
        <w:rPr>
          <w:rFonts w:ascii="DejaVu Sans" w:hAnsi="DejaVu Sans"/>
          <w:color w:val="003366" w:themeShade="80"/>
          <w:sz w:val="20"/>
          <w:szCs w:val="20"/>
        </w:rPr>
        <w:t>Zaidine Ahmé</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lang w:val="en-US"/>
        </w:rPr>
        <w:t>Hamma Ahmed Akwel</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lang w:val="en-US"/>
        </w:rPr>
        <w:t>Yahya Baki</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lang w:val="en-US"/>
        </w:rPr>
        <w:t>Mouhamad Addou</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lang w:val="en-US"/>
        </w:rPr>
        <w:t>Hima Akabo</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lang w:val="en-US"/>
        </w:rPr>
        <w:t>Kammo Hamid</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lang w:val="en-US"/>
        </w:rPr>
        <w:t>Hami Akou</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lang w:val="en-US"/>
        </w:rPr>
        <w:t>Mariama Ahar</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rPr>
        <w:t>Lalla  Eggour</w:t>
      </w:r>
    </w:p>
    <w:p>
      <w:pPr>
        <w:pStyle w:val="NoSpacing"/>
        <w:numPr>
          <w:ilvl w:val="0"/>
          <w:numId w:val="1"/>
        </w:numPr>
        <w:suppressAutoHyphens w:val="false"/>
        <w:spacing w:lineRule="auto" w:line="240"/>
        <w:jc w:val="both"/>
        <w:rPr>
          <w:sz w:val="20"/>
          <w:szCs w:val="20"/>
        </w:rPr>
      </w:pPr>
      <w:r>
        <w:rPr>
          <w:rFonts w:ascii="DejaVu Sans" w:hAnsi="DejaVu Sans"/>
          <w:color w:val="003366"/>
          <w:sz w:val="20"/>
          <w:szCs w:val="20"/>
        </w:rPr>
        <w:t>Damaria</w:t>
      </w:r>
    </w:p>
    <w:p>
      <w:pPr>
        <w:pStyle w:val="NoSpacing"/>
        <w:numPr>
          <w:ilvl w:val="0"/>
          <w:numId w:val="1"/>
        </w:numPr>
        <w:suppressAutoHyphens w:val="false"/>
        <w:spacing w:lineRule="auto" w:line="240"/>
        <w:jc w:val="both"/>
        <w:rPr>
          <w:sz w:val="20"/>
          <w:szCs w:val="20"/>
        </w:rPr>
      </w:pPr>
      <w:r>
        <w:rPr>
          <w:rFonts w:ascii="DejaVu Sans" w:hAnsi="DejaVu Sans"/>
          <w:color w:val="003366"/>
          <w:sz w:val="20"/>
          <w:szCs w:val="20"/>
        </w:rPr>
        <w:t>Mattakoulé</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rPr>
        <w:t>Alher Rabo</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lang w:val="en-US"/>
        </w:rPr>
        <w:t>Islo Foutounnou</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lang w:val="en-US"/>
        </w:rPr>
        <w:t>Ilagamo Izannamoud</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rPr>
        <w:t>Toumalé Dan Yabou</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rPr>
        <w:t>Guélé Dan Yabou</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lang w:val="en-US"/>
        </w:rPr>
        <w:t>Albaka</w:t>
        <w:tab/>
        <w:t xml:space="preserve"> Idi</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lang w:val="en-US"/>
        </w:rPr>
        <w:t>Zara Sidi</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lang w:val="en-US"/>
        </w:rPr>
        <w:t>Mouna</w:t>
        <w:tab/>
        <w:t xml:space="preserve"> Assaid</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rPr>
        <w:t>Maidagi Inwel</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lang w:val="en-US"/>
        </w:rPr>
        <w:t>Issaka</w:t>
        <w:tab/>
        <w:t>Dodo</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rPr>
        <w:t>Zara Abdoul</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rPr>
        <w:t>Ilattou</w:t>
        <w:tab/>
        <w:t>Bididane</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rPr>
        <w:t>Ghali Ahama</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rPr>
        <w:t>Abdou Ibrahim Kollo</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lang w:val="en-US"/>
        </w:rPr>
        <w:t>Issouf</w:t>
        <w:tab/>
        <w:t>Aboubacar</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lang w:val="en-US"/>
        </w:rPr>
        <w:t>Aghali Tawrayat</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lang w:val="en-US"/>
        </w:rPr>
        <w:t>Ahmed Attey</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rPr>
        <w:t>Labo Kassou</w:t>
      </w:r>
    </w:p>
    <w:p>
      <w:pPr>
        <w:pStyle w:val="NoSpacing"/>
        <w:numPr>
          <w:ilvl w:val="0"/>
          <w:numId w:val="1"/>
        </w:numPr>
        <w:suppressAutoHyphens w:val="false"/>
        <w:spacing w:lineRule="auto" w:line="240"/>
        <w:jc w:val="both"/>
        <w:rPr>
          <w:sz w:val="20"/>
          <w:szCs w:val="20"/>
        </w:rPr>
      </w:pPr>
      <w:r>
        <w:rPr>
          <w:rFonts w:ascii="DejaVu Sans" w:hAnsi="DejaVu Sans"/>
          <w:color w:val="003366"/>
          <w:sz w:val="20"/>
          <w:szCs w:val="20"/>
        </w:rPr>
        <w:t>Abdoulaye</w:t>
      </w:r>
    </w:p>
    <w:p>
      <w:pPr>
        <w:pStyle w:val="NoSpacing"/>
        <w:numPr>
          <w:ilvl w:val="0"/>
          <w:numId w:val="1"/>
        </w:numPr>
        <w:suppressAutoHyphens w:val="false"/>
        <w:spacing w:lineRule="auto" w:line="240"/>
        <w:jc w:val="both"/>
        <w:rPr>
          <w:rFonts w:ascii="DejaVu Sans" w:hAnsi="DejaVu Sans"/>
          <w:color w:val="003366"/>
        </w:rPr>
      </w:pPr>
      <w:r>
        <w:rPr>
          <w:rFonts w:ascii="DejaVu Sans" w:hAnsi="DejaVu Sans"/>
          <w:color w:val="003366"/>
          <w:sz w:val="20"/>
          <w:szCs w:val="20"/>
        </w:rPr>
        <w:t>Hassane Maman</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Alhousseini ousmane</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Matta Goumar</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Yahaya hamet</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Oumar hima</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Boussa alkassoum</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Alhassan Bouzou</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Goumar Housseini</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Atti mohamed</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Idrissa Maouli</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Gado Idrissa</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Ibrahim Awatane</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Hassane</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Fatima Ghoumar</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Aboubakar Mohamed</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Labo Hassan</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Abdoulaye</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Tahi</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Abdoulaye Alassane</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Babaye</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Maouli Bilal</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Ousmane</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 xml:space="preserve">Adam </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Kamat</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Dan Baba</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Amzene</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Abdoulkader ahmed</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Abdou Ibrahim</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Aghali</w:t>
      </w:r>
    </w:p>
    <w:p>
      <w:pPr>
        <w:pStyle w:val="NoSpacing"/>
        <w:numPr>
          <w:ilvl w:val="0"/>
          <w:numId w:val="1"/>
        </w:numPr>
        <w:suppressAutoHyphens w:val="false"/>
        <w:spacing w:lineRule="auto" w:line="240"/>
        <w:rPr>
          <w:sz w:val="20"/>
          <w:szCs w:val="20"/>
        </w:rPr>
      </w:pPr>
      <w:r>
        <w:rPr>
          <w:rFonts w:ascii="DejaVu Sans" w:hAnsi="DejaVu Sans"/>
          <w:color w:val="003366"/>
          <w:sz w:val="20"/>
          <w:szCs w:val="20"/>
        </w:rPr>
        <w:t>Ahmed Attaou</w:t>
      </w:r>
    </w:p>
    <w:p>
      <w:pPr>
        <w:pStyle w:val="NoSpacing"/>
        <w:numPr>
          <w:ilvl w:val="0"/>
          <w:numId w:val="1"/>
        </w:numPr>
        <w:suppressAutoHyphens w:val="false"/>
        <w:spacing w:lineRule="auto" w:line="240"/>
        <w:rPr>
          <w:rFonts w:ascii="DejaVu Sans" w:hAnsi="DejaVu Sans"/>
          <w:color w:val="003366"/>
        </w:rPr>
      </w:pPr>
      <w:r>
        <w:rPr>
          <w:rFonts w:ascii="DejaVu Sans" w:hAnsi="DejaVu Sans"/>
          <w:color w:val="003366"/>
          <w:sz w:val="20"/>
          <w:szCs w:val="20"/>
        </w:rPr>
        <w:t>Guisse</w:t>
      </w:r>
    </w:p>
    <w:p>
      <w:pPr>
        <w:sectPr>
          <w:type w:val="continuous"/>
          <w:pgSz w:w="11906" w:h="16838"/>
          <w:pgMar w:left="993" w:right="849" w:header="0" w:top="851" w:footer="132" w:bottom="709" w:gutter="0"/>
          <w:cols w:num="3" w:space="0" w:equalWidth="true" w:sep="false"/>
          <w:formProt w:val="false"/>
          <w:textDirection w:val="lrTb"/>
          <w:docGrid w:type="default" w:linePitch="240" w:charSpace="4294961151"/>
        </w:sectPr>
      </w:pPr>
    </w:p>
    <w:p>
      <w:pPr>
        <w:pStyle w:val="Normal1"/>
        <w:tabs>
          <w:tab w:val="right" w:pos="10064" w:leader="none"/>
        </w:tabs>
        <w:rPr>
          <w:rFonts w:ascii="Calibri" w:hAnsi="Calibri" w:asciiTheme="minorHAnsi" w:hAnsiTheme="minorHAnsi"/>
          <w:color w:val="003366" w:themeShade="80"/>
          <w:sz w:val="20"/>
          <w:szCs w:val="20"/>
        </w:rPr>
      </w:pPr>
      <w:r>
        <w:rPr>
          <w:rFonts w:asciiTheme="minorHAnsi" w:hAnsiTheme="minorHAnsi" w:ascii="Calibri" w:hAnsi="Calibri"/>
          <w:color w:val="003366" w:themeShade="80"/>
          <w:sz w:val="20"/>
          <w:szCs w:val="20"/>
        </w:rPr>
      </w:r>
    </w:p>
    <w:p>
      <w:pPr>
        <w:pStyle w:val="Normal1"/>
        <w:tabs>
          <w:tab w:val="right" w:pos="10064" w:leader="none"/>
        </w:tabs>
        <w:rPr>
          <w:color w:val="003366"/>
        </w:rPr>
      </w:pPr>
      <w:r>
        <w:rPr>
          <w:rFonts w:ascii="Calibri" w:hAnsi="Calibri" w:asciiTheme="minorHAnsi" w:hAnsiTheme="minorHAnsi"/>
          <w:color w:val="003366" w:themeShade="80"/>
          <w:sz w:val="20"/>
          <w:szCs w:val="20"/>
        </w:rPr>
        <w:t>L’ensemble des chefs de quartiers ont transmis leur liste de bénéficiaires.</w:t>
      </w:r>
    </w:p>
    <w:p>
      <w:pPr>
        <w:pStyle w:val="Titre2"/>
        <w:ind w:left="227" w:right="0" w:hanging="0"/>
        <w:rPr>
          <w:color w:val="003366"/>
        </w:rPr>
      </w:pPr>
      <w:r>
        <w:rPr>
          <w:color w:val="003366"/>
        </w:rPr>
        <w:t>- Adduction d’eau</w:t>
      </w:r>
    </w:p>
    <w:p>
      <w:pPr>
        <w:pStyle w:val="NoSpacing"/>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20"/>
          <w:szCs w:val="20"/>
        </w:rPr>
        <w:t xml:space="preserve">Une petite adduction d’eau a été réalisée au centre de santé d’Ingall, pour sécuriser le robinet à l’intérieur des bâtiments. L’adduction a été menée à partir du compteur qui se trouve à environs 40 mètres de la nouvelle construction de la maternité. Elle répond à 2 soucis majeurs : placer un robinet près de la maternité pour lavage des mains au savon initié depuis plusieurs années et pour l’utilisation des patients de ce bâtiment. Le lavage des mains au savon est initié afin de sensibiliser les gens surtout les femmes à laver d’une façon hygiénique les mains après les selles, après avoir assisté une femme lors de l’accouchement et aussi inculquer cela dans les familles avant les repas. </w:t>
      </w:r>
    </w:p>
    <w:p>
      <w:pPr>
        <w:pStyle w:val="NoSpacing"/>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20"/>
          <w:szCs w:val="20"/>
        </w:rPr>
        <w:t>Une seconde adduction d‘eau a été réalisé à l’école traditionnelle, pour amener et sécuriser le robinet à l’intérieur d’une classe.</w:t>
      </w:r>
    </w:p>
    <w:p>
      <w:pPr>
        <w:pStyle w:val="Titre2"/>
        <w:ind w:left="227" w:right="0" w:hanging="0"/>
        <w:rPr>
          <w:color w:val="003366"/>
        </w:rPr>
      </w:pPr>
      <w:r>
        <w:rPr>
          <w:color w:val="003366"/>
        </w:rPr>
        <w:t>- Rue Pavée</w:t>
      </w:r>
    </w:p>
    <w:p>
      <w:pPr>
        <w:pStyle w:val="Normal1"/>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20"/>
          <w:szCs w:val="20"/>
        </w:rPr>
        <w:t>Le recensement des rues à paver en priorité pour la 2ème programmation est réalisé. Une petite réfection est prévue, ainsi que le pavage d’une rue au sud-est de la ville.</w:t>
      </w:r>
    </w:p>
    <w:p>
      <w:pPr>
        <w:pStyle w:val="Titre2"/>
        <w:ind w:left="227" w:right="0" w:hanging="0"/>
        <w:rPr>
          <w:color w:val="003366"/>
        </w:rPr>
      </w:pPr>
      <w:r>
        <w:rPr>
          <w:color w:val="003366"/>
        </w:rPr>
        <w:t>- Pompes à motricité humaine</w:t>
      </w:r>
    </w:p>
    <w:p>
      <w:pPr>
        <w:pStyle w:val="Normal1"/>
        <w:spacing w:before="120" w:after="0"/>
        <w:jc w:val="both"/>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20"/>
          <w:szCs w:val="20"/>
        </w:rPr>
        <w:t>Un devis pour la réparation de la pompe à motricité humaine a été réalisé pour un coût de 1 171 731 Fcfa et une pose de cette pompe pour un coût 585 000 Fcfa. Néanmoins il est nécessaire de foncer un nouveau puits près du village de Tirgit pour la réinstaller. Le coût du puits sera de 1 551 900 Fcfa. Le fonçage de ce puits est important car, poser cette pompe sur un puits privé veut dire de confier la responsabilité à cette personne et en faire sa propriété. Ainsi la propriété en sera confiée à la Mairie.</w:t>
      </w:r>
    </w:p>
    <w:p>
      <w:pPr>
        <w:pStyle w:val="Titre2"/>
        <w:ind w:left="227" w:right="0" w:hanging="0"/>
        <w:rPr>
          <w:color w:val="003366"/>
        </w:rPr>
      </w:pPr>
      <w:r>
        <w:rPr>
          <w:color w:val="003366"/>
        </w:rPr>
        <w:t>- Comblement des mares</w:t>
      </w:r>
    </w:p>
    <w:p>
      <w:pPr>
        <w:pStyle w:val="Normal1"/>
        <w:spacing w:before="120" w:after="0"/>
        <w:rPr>
          <w:color w:val="003366"/>
        </w:rPr>
      </w:pPr>
      <w:r>
        <w:rPr>
          <w:rFonts w:ascii="Calibri" w:hAnsi="Calibri" w:asciiTheme="minorHAnsi" w:hAnsiTheme="minorHAnsi"/>
          <w:color w:val="003366" w:themeShade="80"/>
          <w:sz w:val="20"/>
          <w:szCs w:val="20"/>
        </w:rPr>
        <w:t>L’étude sur le comblement des mares a débuté en septembre 2017 selon le cahier des charges prévu. Rappelons que les résultats de l’étude permettront de trouver d’autres financements pour le comblement des mares et la sécurisation du kori. Ce sera un prestataire de Niamey, ONADEL qui réalisera la prestation qui devrait être disponible au premier semestre 2018. Le coût sera de 3 310 000 Fcfa.</w:t>
      </w:r>
    </w:p>
    <w:p>
      <w:pPr>
        <w:pStyle w:val="Normal1"/>
        <w:spacing w:before="120" w:after="0"/>
        <w:rPr>
          <w:rFonts w:ascii="DejaVu Sans" w:hAnsi="DejaVu Sans"/>
          <w:color w:val="003366"/>
        </w:rPr>
      </w:pPr>
      <w:r>
        <w:rPr>
          <w:rFonts w:ascii="DejaVu Sans" w:hAnsi="DejaVu Sans"/>
          <w:color w:val="003366"/>
          <w:sz w:val="20"/>
          <w:szCs w:val="20"/>
        </w:rPr>
        <w:t>Pour le comblement proprement dit : pour ce programme, on entend pousser les ordures qui se trouvent aux alentours de certaines mares (mare de Kountché, Massayan N’ goussou, Tako N’ goussou) à l’intérieur et couper les arbres de ces mares. Pour le remblayage proprement dit il devrait être fait après l’étude. Le long de la route de Tahoua deux petites mares pourront aussi être remblayées mais avec des matériaux ramenés, ce sont Addoukoul et Dan Gomna.</w:t>
      </w:r>
    </w:p>
    <w:p>
      <w:pPr>
        <w:pStyle w:val="Titre2"/>
        <w:ind w:left="227" w:right="0" w:hanging="0"/>
        <w:rPr>
          <w:color w:val="003366"/>
        </w:rPr>
      </w:pPr>
      <w:r>
        <w:rPr>
          <w:color w:val="003366"/>
        </w:rPr>
        <w:t>- Latrines publiques</w:t>
      </w:r>
    </w:p>
    <w:p>
      <w:pPr>
        <w:pStyle w:val="Normal1"/>
        <w:spacing w:before="120" w:after="0"/>
        <w:rPr>
          <w:color w:val="003366"/>
        </w:rPr>
      </w:pPr>
      <w:r>
        <w:rPr>
          <w:rFonts w:ascii="DejaVu Sans" w:hAnsi="DejaVu Sans"/>
          <w:color w:val="003366"/>
          <w:sz w:val="20"/>
          <w:szCs w:val="20"/>
        </w:rPr>
        <w:t>Un inventaire des latrines des écoles a été fait par les maçons. Les murs de 2 blocs de latrines de l’école Toudou seront entièrement repris. Pour Medersa et l’école Saguid Chibba, des réparations seront envisagées dans un bref délais.</w:t>
      </w:r>
    </w:p>
    <w:p>
      <w:pPr>
        <w:pStyle w:val="Titre2"/>
        <w:ind w:left="227" w:right="0" w:hanging="0"/>
        <w:rPr>
          <w:color w:val="003366"/>
        </w:rPr>
      </w:pPr>
      <w:r>
        <w:rPr>
          <w:color w:val="003366"/>
        </w:rPr>
        <w:t>- La sensibilisation</w:t>
      </w:r>
    </w:p>
    <w:p>
      <w:pPr>
        <w:pStyle w:val="Normal1"/>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20"/>
          <w:szCs w:val="20"/>
        </w:rPr>
        <w:t>Après des séances de travail entre le groupe Relais des femmes et le Centre de santé, les sensibilisations suivantes ont été faites.</w:t>
      </w:r>
    </w:p>
    <w:p>
      <w:pPr>
        <w:pStyle w:val="Normal"/>
        <w:spacing w:before="120" w:after="0"/>
        <w:rPr>
          <w:rFonts w:ascii="Calibri" w:hAnsi="Calibri" w:asciiTheme="minorHAnsi" w:hAnsiTheme="minorHAnsi"/>
          <w:color w:val="003366" w:themeShade="80"/>
          <w:sz w:val="20"/>
          <w:szCs w:val="20"/>
        </w:rPr>
      </w:pPr>
      <w:r>
        <w:rPr/>
        <w:object>
          <v:shape id="ole_rId6" style="width:501.3pt;height:327.25pt" o:ole="">
            <v:imagedata r:id="rId7" o:title=""/>
          </v:shape>
          <o:OLEObject Type="Embed" ProgID="Excel.Sheet.12" ShapeID="ole_rId6" DrawAspect="Content" ObjectID="_1782432399" r:id="rId6"/>
        </w:object>
      </w:r>
    </w:p>
    <w:p>
      <w:pPr>
        <w:pStyle w:val="Normal"/>
        <w:spacing w:before="120" w:after="0"/>
        <w:rPr/>
      </w:pPr>
      <w:r>
        <w:rPr>
          <w:rFonts w:ascii="Calibri" w:hAnsi="Calibri" w:asciiTheme="minorHAnsi" w:hAnsiTheme="minorHAnsi"/>
          <w:color w:val="003366" w:themeShade="80"/>
          <w:sz w:val="20"/>
          <w:szCs w:val="20"/>
        </w:rPr>
        <w:t>Au total se sont plus de 1 000 personnes qui ont été sensibilisés au travers de 30 séances. La proportion de femmes étant la plus importante.</w:t>
      </w:r>
    </w:p>
    <w:p>
      <w:pPr>
        <w:pStyle w:val="Normal"/>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20"/>
          <w:szCs w:val="20"/>
        </w:rPr>
        <w:t>Plusieurs écoles ont aussi bénéficié d’une sensibilisation au lavage des mains à travers un dispositif rudimentaire mais ludique et pédagogique.</w:t>
      </w:r>
    </w:p>
    <w:p>
      <w:pPr>
        <w:pStyle w:val="Titre2"/>
        <w:ind w:left="227" w:right="0" w:hanging="0"/>
        <w:rPr>
          <w:color w:val="003366"/>
        </w:rPr>
      </w:pPr>
      <w:bookmarkStart w:id="0" w:name="__DdeLink__4042_554865755"/>
      <w:r>
        <w:rPr>
          <w:color w:val="003366"/>
        </w:rPr>
        <w:t>- Centre d</w:t>
      </w:r>
      <w:bookmarkEnd w:id="0"/>
      <w:r>
        <w:rPr>
          <w:color w:val="003366"/>
        </w:rPr>
        <w:t>e stockage pour les déchets dangereux</w:t>
      </w:r>
    </w:p>
    <w:p>
      <w:pPr>
        <w:pStyle w:val="Normal1"/>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20"/>
          <w:szCs w:val="20"/>
        </w:rPr>
        <w:t>Le lieu est identifié et sera propriété et gestion de Chlorophylle Niger. En effet la situation de la Mairie ne peut pas permettre d’avancer cette activité, c’est pourquoi nous avons choisi de faire avec nos propres moyens en attendant une situation administrative plus en rapport avec les enjeux de notre programme.</w:t>
      </w:r>
    </w:p>
    <w:p>
      <w:pPr>
        <w:pStyle w:val="Normal1"/>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20"/>
          <w:szCs w:val="20"/>
        </w:rPr>
        <w:t>Les travaux d’aménagement ont débuté sur une parcelle appartenant à l’association près de son bureau.</w:t>
      </w:r>
    </w:p>
    <w:p>
      <w:pPr>
        <w:pStyle w:val="Normal1"/>
        <w:tabs>
          <w:tab w:val="right" w:pos="10064" w:leader="none"/>
        </w:tabs>
        <w:spacing w:before="120" w:after="0"/>
        <w:rPr>
          <w:rFonts w:ascii="Calibri" w:hAnsi="Calibri" w:asciiTheme="minorHAnsi" w:hAnsiTheme="minorHAnsi"/>
          <w:color w:val="244061" w:themeColor="accent1" w:themeShade="80"/>
          <w:sz w:val="20"/>
          <w:szCs w:val="20"/>
        </w:rPr>
      </w:pPr>
      <w:r>
        <w:rPr>
          <w:rFonts w:ascii="Calibri" w:hAnsi="Calibri" w:asciiTheme="minorHAnsi" w:hAnsiTheme="minorHAnsi"/>
          <w:i/>
          <w:iCs/>
          <w:color w:val="003366" w:themeShade="80"/>
          <w:sz w:val="20"/>
          <w:szCs w:val="20"/>
        </w:rPr>
        <w:t>L’opération Piles a été relancée</w:t>
      </w:r>
    </w:p>
    <w:p>
      <w:pPr>
        <w:pStyle w:val="NoSpacing"/>
        <w:spacing w:before="120" w:after="0"/>
        <w:jc w:val="both"/>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20"/>
          <w:szCs w:val="20"/>
        </w:rPr>
        <w:t xml:space="preserve">Nous avions débuté l’opération piles contre mil le 20 mai pour suspendre le 27. L’échange 3 kg de pile contre 1kg de mil est jugé insuffisant par les femmes qui collectent les piles. Dans la phase précédente, nous avions fait le contraire. </w:t>
      </w:r>
    </w:p>
    <w:p>
      <w:pPr>
        <w:pStyle w:val="NoSpacing"/>
        <w:spacing w:before="120" w:after="0"/>
        <w:jc w:val="both"/>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20"/>
          <w:szCs w:val="20"/>
        </w:rPr>
        <w:t>330 kg de mil échangé contre 1005 kg de piles. Nous sommes en contact avec une association de Pau (64) qui a réalisé ce type d’opération à Agadez. Nous devrions pouvoir les acheminer en France ou la société Paprec de Bordeaux les traitera.</w:t>
      </w:r>
    </w:p>
    <w:p>
      <w:pPr>
        <w:pStyle w:val="NoSpacing"/>
        <w:spacing w:before="120" w:after="0"/>
        <w:jc w:val="both"/>
        <w:rPr>
          <w:color w:val="003366"/>
        </w:rPr>
      </w:pPr>
      <w:r>
        <w:rPr>
          <w:rFonts w:ascii="Calibri" w:hAnsi="Calibri" w:asciiTheme="minorHAnsi" w:hAnsiTheme="minorHAnsi"/>
          <w:color w:val="003366" w:themeShade="80"/>
          <w:sz w:val="20"/>
          <w:szCs w:val="20"/>
        </w:rPr>
        <w:t>Il faut savoir que les piles se font de plus en plus rares. Par ce que les gens utilisent des piles de téléphones portables et aussi des piles des montres pour certains radios et lampes torches. Il y a aussi des lampes torches qui se chargent par l’électricité et aussi avec l’énergie solaire.</w:t>
      </w:r>
    </w:p>
    <w:p>
      <w:pPr>
        <w:pStyle w:val="NoSpacing"/>
        <w:spacing w:before="120" w:after="0"/>
        <w:jc w:val="both"/>
        <w:rPr>
          <w:rFonts w:ascii="Calibri" w:hAnsi="Calibri" w:asciiTheme="minorHAnsi" w:hAnsiTheme="minorHAnsi"/>
          <w:color w:themeColor="accent1" w:themeShade="80"/>
        </w:rPr>
      </w:pPr>
      <w:r>
        <w:rPr>
          <w:rFonts w:asciiTheme="minorHAnsi" w:hAnsiTheme="minorHAnsi" w:ascii="Calibri" w:hAnsi="Calibri"/>
          <w:color w:themeColor="accent1" w:themeShade="80"/>
        </w:rPr>
      </w:r>
    </w:p>
    <w:tbl>
      <w:tblPr>
        <w:tblStyle w:val="Grilledutableau"/>
        <w:tblW w:w="9075" w:type="dxa"/>
        <w:jc w:val="left"/>
        <w:tblInd w:w="522" w:type="dxa"/>
        <w:tblCellMar>
          <w:top w:w="0" w:type="dxa"/>
          <w:left w:w="48" w:type="dxa"/>
          <w:bottom w:w="0" w:type="dxa"/>
          <w:right w:w="108" w:type="dxa"/>
        </w:tblCellMar>
        <w:tblLook w:val="04a0"/>
      </w:tblPr>
      <w:tblGrid>
        <w:gridCol w:w="1714"/>
        <w:gridCol w:w="2298"/>
        <w:gridCol w:w="2313"/>
        <w:gridCol w:w="2749"/>
      </w:tblGrid>
      <w:tr>
        <w:trPr/>
        <w:tc>
          <w:tcPr>
            <w:tcW w:w="1714" w:type="dxa"/>
            <w:tcBorders/>
            <w:shd w:color="auto" w:fill="auto" w:val="clear"/>
            <w:tcMar>
              <w:left w:w="48" w:type="dxa"/>
            </w:tcMar>
          </w:tcPr>
          <w:p>
            <w:pPr>
              <w:pStyle w:val="NoSpacing"/>
              <w:spacing w:lineRule="auto" w:line="240"/>
              <w:jc w:val="both"/>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16"/>
                <w:szCs w:val="16"/>
              </w:rPr>
              <w:t>Année</w:t>
            </w:r>
          </w:p>
        </w:tc>
        <w:tc>
          <w:tcPr>
            <w:tcW w:w="2298" w:type="dxa"/>
            <w:tcBorders/>
            <w:shd w:color="auto" w:fill="auto" w:val="clear"/>
            <w:tcMar>
              <w:left w:w="48" w:type="dxa"/>
            </w:tcMar>
          </w:tcPr>
          <w:p>
            <w:pPr>
              <w:pStyle w:val="NoSpacing"/>
              <w:spacing w:lineRule="auto" w:line="240"/>
              <w:jc w:val="both"/>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16"/>
                <w:szCs w:val="16"/>
              </w:rPr>
              <w:t>Quantité</w:t>
            </w:r>
          </w:p>
        </w:tc>
        <w:tc>
          <w:tcPr>
            <w:tcW w:w="2313" w:type="dxa"/>
            <w:tcBorders/>
            <w:shd w:color="auto" w:fill="auto" w:val="clear"/>
            <w:tcMar>
              <w:left w:w="48" w:type="dxa"/>
            </w:tcMar>
          </w:tcPr>
          <w:p>
            <w:pPr>
              <w:pStyle w:val="NoSpacing"/>
              <w:spacing w:lineRule="auto" w:line="240"/>
              <w:jc w:val="both"/>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16"/>
                <w:szCs w:val="16"/>
              </w:rPr>
              <w:t>Mil (kg)</w:t>
            </w:r>
          </w:p>
        </w:tc>
        <w:tc>
          <w:tcPr>
            <w:tcW w:w="2749" w:type="dxa"/>
            <w:tcBorders/>
            <w:shd w:color="auto" w:fill="auto" w:val="clear"/>
            <w:tcMar>
              <w:left w:w="48" w:type="dxa"/>
            </w:tcMar>
          </w:tcPr>
          <w:p>
            <w:pPr>
              <w:pStyle w:val="NoSpacing"/>
              <w:spacing w:lineRule="auto" w:line="240"/>
              <w:jc w:val="both"/>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16"/>
                <w:szCs w:val="16"/>
              </w:rPr>
              <w:t>Nbr de collecteurs</w:t>
            </w:r>
          </w:p>
        </w:tc>
      </w:tr>
      <w:tr>
        <w:trPr/>
        <w:tc>
          <w:tcPr>
            <w:tcW w:w="1714" w:type="dxa"/>
            <w:tcBorders/>
            <w:shd w:color="auto" w:fill="auto" w:val="clear"/>
            <w:tcMar>
              <w:left w:w="48" w:type="dxa"/>
            </w:tcMar>
          </w:tcPr>
          <w:p>
            <w:pPr>
              <w:pStyle w:val="NoSpacing"/>
              <w:spacing w:lineRule="auto" w:line="240"/>
              <w:jc w:val="both"/>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16"/>
                <w:szCs w:val="16"/>
              </w:rPr>
              <w:t>2013</w:t>
            </w:r>
          </w:p>
        </w:tc>
        <w:tc>
          <w:tcPr>
            <w:tcW w:w="2298" w:type="dxa"/>
            <w:tcBorders/>
            <w:shd w:color="auto" w:fill="auto" w:val="clear"/>
            <w:tcMar>
              <w:left w:w="48" w:type="dxa"/>
            </w:tcMar>
          </w:tcPr>
          <w:p>
            <w:pPr>
              <w:pStyle w:val="NoSpacing"/>
              <w:spacing w:lineRule="auto" w:line="240"/>
              <w:jc w:val="both"/>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16"/>
                <w:szCs w:val="16"/>
              </w:rPr>
              <w:t>491</w:t>
            </w:r>
          </w:p>
        </w:tc>
        <w:tc>
          <w:tcPr>
            <w:tcW w:w="2313" w:type="dxa"/>
            <w:tcBorders/>
            <w:shd w:color="auto" w:fill="auto" w:val="clear"/>
            <w:tcMar>
              <w:left w:w="48" w:type="dxa"/>
            </w:tcMar>
          </w:tcPr>
          <w:p>
            <w:pPr>
              <w:pStyle w:val="NoSpacing"/>
              <w:spacing w:lineRule="auto" w:line="240"/>
              <w:jc w:val="both"/>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16"/>
                <w:szCs w:val="16"/>
              </w:rPr>
              <w:t>982</w:t>
            </w:r>
          </w:p>
        </w:tc>
        <w:tc>
          <w:tcPr>
            <w:tcW w:w="2749" w:type="dxa"/>
            <w:tcBorders/>
            <w:shd w:color="auto" w:fill="auto" w:val="clear"/>
            <w:tcMar>
              <w:left w:w="48" w:type="dxa"/>
            </w:tcMar>
          </w:tcPr>
          <w:p>
            <w:pPr>
              <w:pStyle w:val="NoSpacing"/>
              <w:spacing w:lineRule="auto" w:line="240"/>
              <w:jc w:val="both"/>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16"/>
                <w:szCs w:val="16"/>
              </w:rPr>
              <w:t>26</w:t>
            </w:r>
          </w:p>
        </w:tc>
      </w:tr>
      <w:tr>
        <w:trPr/>
        <w:tc>
          <w:tcPr>
            <w:tcW w:w="1714" w:type="dxa"/>
            <w:tcBorders/>
            <w:shd w:color="auto" w:fill="auto" w:val="clear"/>
            <w:tcMar>
              <w:left w:w="48" w:type="dxa"/>
            </w:tcMar>
          </w:tcPr>
          <w:p>
            <w:pPr>
              <w:pStyle w:val="NoSpacing"/>
              <w:spacing w:lineRule="auto" w:line="240"/>
              <w:jc w:val="both"/>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16"/>
                <w:szCs w:val="16"/>
              </w:rPr>
              <w:t>2017</w:t>
            </w:r>
          </w:p>
        </w:tc>
        <w:tc>
          <w:tcPr>
            <w:tcW w:w="2298" w:type="dxa"/>
            <w:tcBorders/>
            <w:shd w:color="auto" w:fill="auto" w:val="clear"/>
            <w:tcMar>
              <w:left w:w="48" w:type="dxa"/>
            </w:tcMar>
          </w:tcPr>
          <w:p>
            <w:pPr>
              <w:pStyle w:val="NoSpacing"/>
              <w:spacing w:lineRule="auto" w:line="240"/>
              <w:jc w:val="both"/>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16"/>
                <w:szCs w:val="16"/>
              </w:rPr>
              <w:t>1005</w:t>
            </w:r>
          </w:p>
        </w:tc>
        <w:tc>
          <w:tcPr>
            <w:tcW w:w="2313" w:type="dxa"/>
            <w:tcBorders/>
            <w:shd w:color="auto" w:fill="auto" w:val="clear"/>
            <w:tcMar>
              <w:left w:w="48" w:type="dxa"/>
            </w:tcMar>
          </w:tcPr>
          <w:p>
            <w:pPr>
              <w:pStyle w:val="NoSpacing"/>
              <w:spacing w:lineRule="auto" w:line="240"/>
              <w:jc w:val="both"/>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16"/>
                <w:szCs w:val="16"/>
              </w:rPr>
              <w:t>330</w:t>
            </w:r>
          </w:p>
        </w:tc>
        <w:tc>
          <w:tcPr>
            <w:tcW w:w="2749" w:type="dxa"/>
            <w:tcBorders/>
            <w:shd w:color="auto" w:fill="auto" w:val="clear"/>
            <w:tcMar>
              <w:left w:w="48" w:type="dxa"/>
            </w:tcMar>
          </w:tcPr>
          <w:p>
            <w:pPr>
              <w:pStyle w:val="NoSpacing"/>
              <w:spacing w:lineRule="auto" w:line="240"/>
              <w:jc w:val="both"/>
              <w:rPr>
                <w:rFonts w:ascii="Calibri" w:hAnsi="Calibri" w:asciiTheme="minorHAnsi" w:hAnsiTheme="minorHAnsi"/>
                <w:color w:val="244061" w:themeColor="accent1" w:themeShade="80"/>
                <w:sz w:val="20"/>
                <w:szCs w:val="20"/>
              </w:rPr>
            </w:pPr>
            <w:r>
              <w:rPr>
                <w:rFonts w:ascii="Calibri" w:hAnsi="Calibri" w:asciiTheme="minorHAnsi" w:hAnsiTheme="minorHAnsi"/>
                <w:color w:val="003366" w:themeShade="80"/>
                <w:sz w:val="16"/>
                <w:szCs w:val="16"/>
              </w:rPr>
              <w:t>54</w:t>
            </w:r>
          </w:p>
        </w:tc>
      </w:tr>
    </w:tbl>
    <w:p>
      <w:pPr>
        <w:pStyle w:val="Normal1"/>
        <w:spacing w:before="120" w:after="0"/>
        <w:rPr>
          <w:color w:val="003366"/>
        </w:rPr>
      </w:pPr>
      <w:r>
        <w:rPr>
          <w:rFonts w:ascii="Calibri" w:hAnsi="Calibri" w:asciiTheme="minorHAnsi" w:hAnsiTheme="minorHAnsi"/>
          <w:color w:val="003366" w:themeShade="80"/>
          <w:sz w:val="20"/>
          <w:szCs w:val="20"/>
        </w:rPr>
        <w:t>Le centre stockera aussi les autres déchets dangereux (électroniques, substances chimiques, huiles de vidange, etc.), voir les plastiques. A chaque type de déchets il faut imaginer un moyen de collecte.</w:t>
      </w:r>
    </w:p>
    <w:p>
      <w:pPr>
        <w:pStyle w:val="Titre1"/>
        <w:rPr>
          <w:color w:val="003366"/>
        </w:rPr>
      </w:pPr>
      <w:r>
        <w:rPr>
          <w:color w:val="003366"/>
        </w:rPr>
        <w:t>État des dépenses</w:t>
      </w:r>
    </w:p>
    <w:p>
      <w:pPr>
        <w:pStyle w:val="Normal1"/>
        <w:spacing w:before="120" w:after="0"/>
        <w:rPr>
          <w:color w:val="003366"/>
        </w:rPr>
      </w:pPr>
      <w:r>
        <w:rPr/>
        <w:drawing>
          <wp:inline distT="0" distB="0" distL="0" distR="0">
            <wp:extent cx="6390640" cy="1914525"/>
            <wp:effectExtent l="0" t="0" r="0" b="0"/>
            <wp:docPr id="4"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
                    <pic:cNvPicPr>
                      <a:picLocks noChangeAspect="1" noChangeArrowheads="1"/>
                    </pic:cNvPicPr>
                  </pic:nvPicPr>
                  <pic:blipFill>
                    <a:blip r:embed="rId8"/>
                    <a:stretch>
                      <a:fillRect/>
                    </a:stretch>
                  </pic:blipFill>
                  <pic:spPr bwMode="auto">
                    <a:xfrm>
                      <a:off x="0" y="0"/>
                      <a:ext cx="6390640" cy="1914525"/>
                    </a:xfrm>
                    <a:prstGeom prst="rect">
                      <a:avLst/>
                    </a:prstGeom>
                  </pic:spPr>
                </pic:pic>
              </a:graphicData>
            </a:graphic>
          </wp:inline>
        </w:drawing>
      </w:r>
    </w:p>
    <w:p>
      <w:pPr>
        <w:pStyle w:val="Titre1"/>
        <w:rPr>
          <w:color w:val="003366"/>
        </w:rPr>
      </w:pPr>
      <w:r>
        <w:rPr>
          <w:color w:val="003366"/>
        </w:rPr>
      </w:r>
    </w:p>
    <w:p>
      <w:pPr>
        <w:pStyle w:val="Normal"/>
        <w:tabs>
          <w:tab w:val="right" w:pos="10064" w:leader="none"/>
        </w:tabs>
        <w:spacing w:before="120" w:after="0"/>
        <w:rPr>
          <w:rFonts w:ascii="Calibri" w:hAnsi="Calibri" w:eastAsia="Times New Roman" w:cs="Times New Roman" w:asciiTheme="minorHAnsi" w:hAnsiTheme="minorHAnsi"/>
          <w:b/>
          <w:b/>
          <w:bCs/>
          <w:color w:val="003366" w:themeShade="80"/>
          <w:sz w:val="20"/>
          <w:szCs w:val="20"/>
          <w:lang w:eastAsia="fr-FR" w:bidi="ar-SA"/>
        </w:rPr>
      </w:pPr>
      <w:r>
        <w:rPr>
          <w:rFonts w:eastAsia="Times New Roman" w:cs="Times New Roman" w:ascii="Calibri" w:hAnsi="Calibri"/>
          <w:b/>
          <w:bCs/>
          <w:color w:val="003366" w:themeShade="80"/>
          <w:sz w:val="20"/>
          <w:szCs w:val="20"/>
          <w:lang w:eastAsia="fr-FR" w:bidi="ar-SA"/>
        </w:rPr>
      </w:r>
      <w:r>
        <w:br w:type="page"/>
      </w:r>
    </w:p>
    <w:p>
      <w:pPr>
        <w:pStyle w:val="Titre1"/>
        <w:rPr/>
      </w:pPr>
      <w:r>
        <w:rPr>
          <w:color w:val="003366"/>
        </w:rPr>
        <w:t>Rapport Agent de l’assainissement du centre de santé</w:t>
      </w:r>
    </w:p>
    <w:p>
      <w:pPr>
        <w:pStyle w:val="Normal1"/>
        <w:tabs>
          <w:tab w:val="right" w:pos="10064" w:leader="none"/>
        </w:tabs>
        <w:jc w:val="both"/>
        <w:rPr>
          <w:rFonts w:ascii="Calibri" w:hAnsi="Calibri" w:asciiTheme="minorHAnsi" w:hAnsiTheme="minorHAnsi"/>
          <w:b/>
          <w:b/>
          <w:bCs/>
          <w:color w:val="003366" w:themeShade="80"/>
          <w:sz w:val="20"/>
          <w:szCs w:val="20"/>
        </w:rPr>
      </w:pPr>
      <w:r>
        <w:rPr>
          <w:rFonts w:asciiTheme="minorHAnsi" w:hAnsiTheme="minorHAnsi" w:ascii="Calibri" w:hAnsi="Calibri"/>
          <w:b/>
          <w:bCs/>
          <w:color w:val="003366" w:themeShade="80"/>
          <w:sz w:val="20"/>
          <w:szCs w:val="20"/>
        </w:rPr>
        <w:drawing>
          <wp:anchor behindDoc="0" distT="0" distB="0" distL="0" distR="0" simplePos="0" locked="0" layoutInCell="1" allowOverlap="1" relativeHeight="4">
            <wp:simplePos x="0" y="0"/>
            <wp:positionH relativeFrom="column">
              <wp:posOffset>3324860</wp:posOffset>
            </wp:positionH>
            <wp:positionV relativeFrom="paragraph">
              <wp:posOffset>140970</wp:posOffset>
            </wp:positionV>
            <wp:extent cx="3118485" cy="4352290"/>
            <wp:effectExtent l="0" t="0" r="0" b="0"/>
            <wp:wrapSquare wrapText="largest"/>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9"/>
                    <a:stretch>
                      <a:fillRect/>
                    </a:stretch>
                  </pic:blipFill>
                  <pic:spPr bwMode="auto">
                    <a:xfrm>
                      <a:off x="0" y="0"/>
                      <a:ext cx="3118485" cy="4352290"/>
                    </a:xfrm>
                    <a:prstGeom prst="rect">
                      <a:avLst/>
                    </a:prstGeom>
                  </pic:spPr>
                </pic:pic>
              </a:graphicData>
            </a:graphic>
          </wp:anchor>
        </w:drawing>
      </w:r>
    </w:p>
    <w:p>
      <w:pPr>
        <w:pStyle w:val="Normal1"/>
        <w:tabs>
          <w:tab w:val="right" w:pos="10064" w:leader="none"/>
        </w:tabs>
        <w:jc w:val="both"/>
        <w:rPr/>
      </w:pPr>
      <w:r>
        <w:rPr/>
        <w:drawing>
          <wp:anchor behindDoc="0" distT="0" distB="0" distL="0" distR="0" simplePos="0" locked="0" layoutInCell="1" allowOverlap="1" relativeHeight="3">
            <wp:simplePos x="0" y="0"/>
            <wp:positionH relativeFrom="column">
              <wp:posOffset>-30480</wp:posOffset>
            </wp:positionH>
            <wp:positionV relativeFrom="paragraph">
              <wp:posOffset>1270</wp:posOffset>
            </wp:positionV>
            <wp:extent cx="3205480" cy="4368165"/>
            <wp:effectExtent l="0" t="0" r="0" b="0"/>
            <wp:wrapSquare wrapText="largest"/>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10"/>
                    <a:stretch>
                      <a:fillRect/>
                    </a:stretch>
                  </pic:blipFill>
                  <pic:spPr bwMode="auto">
                    <a:xfrm>
                      <a:off x="0" y="0"/>
                      <a:ext cx="3205480" cy="4368165"/>
                    </a:xfrm>
                    <a:prstGeom prst="rect">
                      <a:avLst/>
                    </a:prstGeom>
                  </pic:spPr>
                </pic:pic>
              </a:graphicData>
            </a:graphic>
          </wp:anchor>
        </w:drawing>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drawing>
          <wp:anchor behindDoc="0" distT="0" distB="0" distL="0" distR="0" simplePos="0" locked="0" layoutInCell="1" allowOverlap="1" relativeHeight="5">
            <wp:simplePos x="0" y="0"/>
            <wp:positionH relativeFrom="column">
              <wp:posOffset>3251835</wp:posOffset>
            </wp:positionH>
            <wp:positionV relativeFrom="paragraph">
              <wp:posOffset>139065</wp:posOffset>
            </wp:positionV>
            <wp:extent cx="3211195" cy="2644140"/>
            <wp:effectExtent l="0" t="0" r="0" b="0"/>
            <wp:wrapSquare wrapText="largest"/>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11"/>
                    <a:stretch>
                      <a:fillRect/>
                    </a:stretch>
                  </pic:blipFill>
                  <pic:spPr bwMode="auto">
                    <a:xfrm>
                      <a:off x="0" y="0"/>
                      <a:ext cx="3211195" cy="2644140"/>
                    </a:xfrm>
                    <a:prstGeom prst="rect">
                      <a:avLst/>
                    </a:prstGeom>
                  </pic:spPr>
                </pic:pic>
              </a:graphicData>
            </a:graphic>
          </wp:anchor>
        </w:drawing>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Normal1"/>
        <w:tabs>
          <w:tab w:val="right" w:pos="10064" w:leader="none"/>
        </w:tabs>
        <w:jc w:val="both"/>
        <w:rPr/>
      </w:pPr>
      <w:r>
        <w:rPr/>
      </w:r>
    </w:p>
    <w:p>
      <w:pPr>
        <w:pStyle w:val="Titre1"/>
        <w:tabs>
          <w:tab w:val="right" w:pos="10064" w:leader="none"/>
        </w:tabs>
        <w:jc w:val="both"/>
        <w:rPr/>
      </w:pPr>
      <w:r>
        <w:rPr>
          <w:color w:val="003366"/>
        </w:rPr>
        <w:t>PV du comité de salubrité</w:t>
      </w:r>
    </w:p>
    <w:p>
      <w:pPr>
        <w:pStyle w:val="Titre1"/>
        <w:tabs>
          <w:tab w:val="right" w:pos="10064" w:leader="none"/>
        </w:tabs>
        <w:jc w:val="both"/>
        <w:rPr/>
      </w:pPr>
      <w:r>
        <w:rPr>
          <w:color w:val="003366"/>
        </w:rPr>
        <w:t>Rapport Mission do 16 au 30 septembre 2017</w:t>
      </w:r>
    </w:p>
    <w:p>
      <w:pPr>
        <w:pStyle w:val="Normal1"/>
        <w:tabs>
          <w:tab w:val="right" w:pos="10064" w:leader="none"/>
        </w:tabs>
        <w:jc w:val="both"/>
        <w:rPr/>
      </w:pPr>
      <w:r>
        <w:rPr/>
      </w:r>
    </w:p>
    <w:p>
      <w:pPr>
        <w:pStyle w:val="Normal1"/>
        <w:tabs>
          <w:tab w:val="right" w:pos="10064" w:leader="none"/>
        </w:tabs>
        <w:jc w:val="both"/>
        <w:rPr/>
      </w:pPr>
      <w:r>
        <w:rPr/>
      </w:r>
    </w:p>
    <w:p>
      <w:pPr>
        <w:sectPr>
          <w:type w:val="continuous"/>
          <w:pgSz w:w="11906" w:h="16838"/>
          <w:pgMar w:left="993" w:right="849" w:header="0" w:top="851" w:footer="132" w:bottom="709" w:gutter="0"/>
          <w:formProt w:val="false"/>
          <w:textDirection w:val="lrTb"/>
          <w:docGrid w:type="default" w:linePitch="240" w:charSpace="4294961151"/>
        </w:sectPr>
      </w:pPr>
    </w:p>
    <w:sectPr>
      <w:type w:val="continuous"/>
      <w:pgSz w:w="11906" w:h="16838"/>
      <w:pgMar w:left="993" w:right="849" w:header="0" w:top="851" w:footer="132" w:bottom="709"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swiss"/>
    <w:pitch w:val="variable"/>
  </w:font>
  <w:font w:name="Cambria">
    <w:charset w:val="01"/>
    <w:family w:val="roman"/>
    <w:pitch w:val="variable"/>
  </w:font>
  <w:font w:name="Times New Roman">
    <w:charset w:val="01"/>
    <w:family w:val="roman"/>
    <w:pitch w:val="variable"/>
  </w:font>
  <w:font w:name="Tahoma">
    <w:charset w:val="01"/>
    <w:family w:val="roman"/>
    <w:pitch w:val="variable"/>
  </w:font>
  <w:font w:name="Aial">
    <w:charset w:val="01"/>
    <w:family w:val="roman"/>
    <w:pitch w:val="variable"/>
  </w:font>
  <w:font w:name="DejaVu Sans">
    <w:charset w:val="01"/>
    <w:family w:val="roman"/>
    <w:pitch w:val="variable"/>
  </w:font>
  <w:font w:name="Liberation Sans">
    <w:altName w:val="Arial"/>
    <w:charset w:val="01"/>
    <w:family w:val="roman"/>
    <w:pitch w:val="variable"/>
  </w:font>
  <w:font w:name="Arial">
    <w:charset w:val="01"/>
    <w:family w:val="roman"/>
    <w:pitch w:val="variable"/>
  </w:font>
  <w:font w:name="Calibri">
    <w:charset w:val="01"/>
    <w:family w:val="roman"/>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sz w:val="20"/>
        <w:szCs w:val="18"/>
        <w:rFonts w:ascii="DejaVu Sans" w:hAnsi="DejaVu Sans" w:eastAsia="Times New Roman"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40"/>
  <w:defaultTabStop w:val="708"/>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roid Sans Fallback" w:cs="FreeSans"/>
        <w:szCs w:val="24"/>
        <w:lang w:val="fr-FR" w:eastAsia="zh-CN" w:bidi="hi-IN"/>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42cfb"/>
    <w:pPr>
      <w:widowControl/>
      <w:bidi w:val="0"/>
      <w:jc w:val="left"/>
      <w:textAlignment w:val="baseline"/>
    </w:pPr>
    <w:rPr>
      <w:rFonts w:ascii="Liberation Serif" w:hAnsi="Liberation Serif" w:eastAsia="Droid Sans Fallback" w:cs="FreeSans"/>
      <w:color w:val="00000A"/>
      <w:sz w:val="24"/>
      <w:szCs w:val="24"/>
      <w:lang w:val="fr-FR" w:eastAsia="zh-CN" w:bidi="hi-IN"/>
    </w:rPr>
  </w:style>
  <w:style w:type="paragraph" w:styleId="Titre1">
    <w:name w:val="Heading 1"/>
    <w:basedOn w:val="Titreprincipal"/>
    <w:link w:val="Titre1Car"/>
    <w:uiPriority w:val="9"/>
    <w:qFormat/>
    <w:rsid w:val="005a2a66"/>
    <w:pPr>
      <w:keepLines/>
      <w:widowControl w:val="false"/>
      <w:spacing w:before="480" w:after="0"/>
      <w:outlineLvl w:val="0"/>
    </w:pPr>
    <w:rPr>
      <w:rFonts w:ascii="Cambria" w:hAnsi="Cambria" w:eastAsia="Droid Sans Fallback" w:cs="Mangal"/>
      <w:b/>
      <w:bCs/>
      <w:color w:val="365F91"/>
      <w:szCs w:val="25"/>
    </w:rPr>
  </w:style>
  <w:style w:type="paragraph" w:styleId="Titre2">
    <w:name w:val="Heading 2"/>
    <w:basedOn w:val="Normal"/>
    <w:next w:val="Normal"/>
    <w:link w:val="Titre2Car"/>
    <w:uiPriority w:val="9"/>
    <w:unhideWhenUsed/>
    <w:qFormat/>
    <w:rsid w:val="00436192"/>
    <w:pPr>
      <w:keepNext/>
      <w:keepLines/>
      <w:spacing w:before="283" w:after="0"/>
      <w:ind w:left="227" w:right="0" w:hanging="0"/>
      <w:outlineLvl w:val="1"/>
    </w:pPr>
    <w:rPr>
      <w:rFonts w:ascii="Cambria" w:hAnsi="Cambria" w:eastAsia="" w:cs="Mangal" w:asciiTheme="majorHAnsi" w:eastAsiaTheme="majorEastAsia" w:hAnsiTheme="majorHAnsi"/>
      <w:b/>
      <w:color w:val="365F91" w:themeColor="accent1" w:themeShade="bf"/>
      <w:sz w:val="22"/>
      <w:szCs w:val="23"/>
    </w:rPr>
  </w:style>
  <w:style w:type="character" w:styleId="DefaultParagraphFont" w:default="1">
    <w:name w:val="Default Paragraph Font"/>
    <w:uiPriority w:val="1"/>
    <w:semiHidden/>
    <w:unhideWhenUsed/>
    <w:qFormat/>
    <w:rPr/>
  </w:style>
  <w:style w:type="character" w:styleId="SoustitreCar" w:customStyle="1">
    <w:name w:val="Sous-titre Car"/>
    <w:basedOn w:val="DefaultParagraphFont"/>
    <w:qFormat/>
    <w:rsid w:val="00442cfb"/>
    <w:rPr>
      <w:rFonts w:ascii="Cambria" w:hAnsi="Cambria" w:cs="F"/>
      <w:i/>
      <w:iCs/>
      <w:color w:val="4F81BD"/>
      <w:spacing w:val="15"/>
      <w:sz w:val="24"/>
      <w:szCs w:val="24"/>
      <w:lang w:eastAsia="fr-FR"/>
    </w:rPr>
  </w:style>
  <w:style w:type="character" w:styleId="EntteCar" w:customStyle="1">
    <w:name w:val="En-tête Car"/>
    <w:basedOn w:val="DefaultParagraphFont"/>
    <w:qFormat/>
    <w:rsid w:val="00442cfb"/>
    <w:rPr>
      <w:rFonts w:ascii="Times New Roman" w:hAnsi="Times New Roman" w:eastAsia="Times New Roman" w:cs="Times New Roman"/>
      <w:sz w:val="24"/>
      <w:szCs w:val="24"/>
      <w:lang w:eastAsia="fr-FR"/>
    </w:rPr>
  </w:style>
  <w:style w:type="character" w:styleId="PieddepageCar" w:customStyle="1">
    <w:name w:val="Pied de page Car"/>
    <w:basedOn w:val="DefaultParagraphFont"/>
    <w:qFormat/>
    <w:rsid w:val="00442cfb"/>
    <w:rPr>
      <w:rFonts w:ascii="Times New Roman" w:hAnsi="Times New Roman" w:eastAsia="Times New Roman" w:cs="Times New Roman"/>
      <w:sz w:val="24"/>
      <w:szCs w:val="24"/>
      <w:lang w:eastAsia="fr-FR"/>
    </w:rPr>
  </w:style>
  <w:style w:type="character" w:styleId="TextedebullesCar" w:customStyle="1">
    <w:name w:val="Texte de bulles Car"/>
    <w:basedOn w:val="DefaultParagraphFont"/>
    <w:qFormat/>
    <w:rsid w:val="00442cfb"/>
    <w:rPr>
      <w:rFonts w:ascii="Tahoma" w:hAnsi="Tahoma" w:eastAsia="Times New Roman" w:cs="Tahoma"/>
      <w:sz w:val="16"/>
      <w:szCs w:val="16"/>
      <w:lang w:eastAsia="fr-FR"/>
    </w:rPr>
  </w:style>
  <w:style w:type="character" w:styleId="ListLabel1" w:customStyle="1">
    <w:name w:val="ListLabel 1"/>
    <w:qFormat/>
    <w:rsid w:val="00442cfb"/>
    <w:rPr>
      <w:rFonts w:eastAsia="Times New Roman" w:cs="Times New Roman"/>
    </w:rPr>
  </w:style>
  <w:style w:type="character" w:styleId="ListLabel2" w:customStyle="1">
    <w:name w:val="ListLabel 2"/>
    <w:qFormat/>
    <w:rsid w:val="00442cfb"/>
    <w:rPr>
      <w:rFonts w:cs="Courier New"/>
    </w:rPr>
  </w:style>
  <w:style w:type="character" w:styleId="ListLabel3" w:customStyle="1">
    <w:name w:val="ListLabel 3"/>
    <w:qFormat/>
    <w:rsid w:val="00442cfb"/>
    <w:rPr>
      <w:rFonts w:eastAsia="Times New Roman" w:cs="Tahoma"/>
    </w:rPr>
  </w:style>
  <w:style w:type="character" w:styleId="ListLabel4" w:customStyle="1">
    <w:name w:val="ListLabel 4"/>
    <w:qFormat/>
    <w:rsid w:val="00442cfb"/>
    <w:rPr>
      <w:rFonts w:cs="Times New Roman"/>
    </w:rPr>
  </w:style>
  <w:style w:type="character" w:styleId="ListLabel5" w:customStyle="1">
    <w:name w:val="ListLabel 5"/>
    <w:qFormat/>
    <w:rsid w:val="00442cfb"/>
    <w:rPr>
      <w:rFonts w:cs="Courier New"/>
    </w:rPr>
  </w:style>
  <w:style w:type="character" w:styleId="ListLabel6" w:customStyle="1">
    <w:name w:val="ListLabel 6"/>
    <w:qFormat/>
    <w:rsid w:val="00442cfb"/>
    <w:rPr>
      <w:rFonts w:cs="Wingdings"/>
    </w:rPr>
  </w:style>
  <w:style w:type="character" w:styleId="ListLabel7" w:customStyle="1">
    <w:name w:val="ListLabel 7"/>
    <w:qFormat/>
    <w:rsid w:val="00442cfb"/>
    <w:rPr>
      <w:rFonts w:cs="Symbol"/>
    </w:rPr>
  </w:style>
  <w:style w:type="character" w:styleId="Titre1Car" w:customStyle="1">
    <w:name w:val="Titre 1 Car"/>
    <w:basedOn w:val="DefaultParagraphFont"/>
    <w:link w:val="Titre1"/>
    <w:uiPriority w:val="9"/>
    <w:qFormat/>
    <w:rsid w:val="005a2a66"/>
    <w:rPr>
      <w:rFonts w:ascii="Cambria" w:hAnsi="Cambria" w:cs="Mangal"/>
      <w:b/>
      <w:bCs/>
      <w:color w:val="365F91"/>
      <w:sz w:val="28"/>
      <w:szCs w:val="25"/>
    </w:rPr>
  </w:style>
  <w:style w:type="character" w:styleId="TitreCar" w:customStyle="1">
    <w:name w:val="Titre Car"/>
    <w:basedOn w:val="DefaultParagraphFont"/>
    <w:link w:val="Titre10"/>
    <w:uiPriority w:val="10"/>
    <w:qFormat/>
    <w:rsid w:val="00c36cd6"/>
    <w:rPr>
      <w:rFonts w:ascii="Cambria" w:hAnsi="Cambria" w:cs="Mangal"/>
      <w:color w:val="17365D"/>
      <w:spacing w:val="5"/>
      <w:sz w:val="52"/>
      <w:szCs w:val="47"/>
    </w:rPr>
  </w:style>
  <w:style w:type="character" w:styleId="LienInternet" w:customStyle="1">
    <w:name w:val="Lien Internet"/>
    <w:basedOn w:val="DefaultParagraphFont"/>
    <w:uiPriority w:val="99"/>
    <w:unhideWhenUsed/>
    <w:rsid w:val="00b52a15"/>
    <w:rPr>
      <w:color w:val="0000FF"/>
      <w:u w:val="single"/>
    </w:rPr>
  </w:style>
  <w:style w:type="character" w:styleId="SubtleReference">
    <w:name w:val="Subtle Reference"/>
    <w:basedOn w:val="DefaultParagraphFont"/>
    <w:uiPriority w:val="31"/>
    <w:qFormat/>
    <w:rsid w:val="0026328b"/>
    <w:rPr>
      <w:smallCaps/>
      <w:color w:val="C0504D"/>
      <w:u w:val="single"/>
    </w:rPr>
  </w:style>
  <w:style w:type="character" w:styleId="IntenseReference">
    <w:name w:val="Intense Reference"/>
    <w:basedOn w:val="DefaultParagraphFont"/>
    <w:uiPriority w:val="32"/>
    <w:qFormat/>
    <w:rsid w:val="0026328b"/>
    <w:rPr>
      <w:b/>
      <w:bCs/>
      <w:smallCaps/>
      <w:color w:val="C0504D"/>
      <w:spacing w:val="5"/>
      <w:u w:val="single"/>
    </w:rPr>
  </w:style>
  <w:style w:type="character" w:styleId="BookTitle">
    <w:name w:val="Book Title"/>
    <w:basedOn w:val="DefaultParagraphFont"/>
    <w:uiPriority w:val="33"/>
    <w:qFormat/>
    <w:rsid w:val="0026328b"/>
    <w:rPr>
      <w:b/>
      <w:bCs/>
      <w:smallCaps/>
      <w:spacing w:val="5"/>
    </w:rPr>
  </w:style>
  <w:style w:type="character" w:styleId="ListLabel8" w:customStyle="1">
    <w:name w:val="ListLabel 8"/>
    <w:qFormat/>
    <w:rsid w:val="00442cfb"/>
    <w:rPr>
      <w:rFonts w:eastAsia="Droid Sans Fallback" w:cs="FreeSans"/>
    </w:rPr>
  </w:style>
  <w:style w:type="character" w:styleId="ListLabel9" w:customStyle="1">
    <w:name w:val="ListLabel 9"/>
    <w:qFormat/>
    <w:rsid w:val="00442cfb"/>
    <w:rPr>
      <w:rFonts w:cs="Courier New"/>
    </w:rPr>
  </w:style>
  <w:style w:type="character" w:styleId="ListLabel10" w:customStyle="1">
    <w:name w:val="ListLabel 10"/>
    <w:qFormat/>
    <w:rsid w:val="00442cfb"/>
    <w:rPr>
      <w:rFonts w:eastAsia="Times New Roman" w:cs="Times New Roman"/>
    </w:rPr>
  </w:style>
  <w:style w:type="character" w:styleId="ListLabel11" w:customStyle="1">
    <w:name w:val="ListLabel 11"/>
    <w:qFormat/>
    <w:rsid w:val="00442cfb"/>
    <w:rPr>
      <w:rFonts w:ascii="Aial" w:hAnsi="Aial" w:eastAsia="Times New Roman" w:cs="Times New Roman"/>
      <w:sz w:val="22"/>
    </w:rPr>
  </w:style>
  <w:style w:type="character" w:styleId="ListLabel12" w:customStyle="1">
    <w:name w:val="ListLabel 12"/>
    <w:qFormat/>
    <w:rsid w:val="00442cfb"/>
    <w:rPr>
      <w:rFonts w:cs="Courier New"/>
    </w:rPr>
  </w:style>
  <w:style w:type="character" w:styleId="ListLabel13" w:customStyle="1">
    <w:name w:val="ListLabel 13"/>
    <w:qFormat/>
    <w:rsid w:val="00442cfb"/>
    <w:rPr>
      <w:rFonts w:cs="Courier New"/>
    </w:rPr>
  </w:style>
  <w:style w:type="character" w:styleId="ListLabel14" w:customStyle="1">
    <w:name w:val="ListLabel 14"/>
    <w:qFormat/>
    <w:rsid w:val="00442cfb"/>
    <w:rPr>
      <w:rFonts w:cs="Courier New"/>
    </w:rPr>
  </w:style>
  <w:style w:type="character" w:styleId="ListLabel15" w:customStyle="1">
    <w:name w:val="ListLabel 15"/>
    <w:qFormat/>
    <w:rsid w:val="00442cfb"/>
    <w:rPr>
      <w:rFonts w:ascii="Aial" w:hAnsi="Aial" w:eastAsia="Times New Roman" w:cs="Times New Roman"/>
      <w:sz w:val="22"/>
    </w:rPr>
  </w:style>
  <w:style w:type="character" w:styleId="ListLabel16" w:customStyle="1">
    <w:name w:val="ListLabel 16"/>
    <w:qFormat/>
    <w:rsid w:val="00442cfb"/>
    <w:rPr>
      <w:rFonts w:cs="Courier New"/>
    </w:rPr>
  </w:style>
  <w:style w:type="character" w:styleId="ListLabel17" w:customStyle="1">
    <w:name w:val="ListLabel 17"/>
    <w:qFormat/>
    <w:rsid w:val="00442cfb"/>
    <w:rPr>
      <w:rFonts w:cs="Wingdings"/>
    </w:rPr>
  </w:style>
  <w:style w:type="character" w:styleId="ListLabel18" w:customStyle="1">
    <w:name w:val="ListLabel 18"/>
    <w:qFormat/>
    <w:rsid w:val="00442cfb"/>
    <w:rPr>
      <w:rFonts w:cs="Symbol"/>
    </w:rPr>
  </w:style>
  <w:style w:type="character" w:styleId="ListLabel19" w:customStyle="1">
    <w:name w:val="ListLabel 19"/>
    <w:qFormat/>
    <w:rsid w:val="00442cfb"/>
    <w:rPr>
      <w:rFonts w:cs="Courier New"/>
    </w:rPr>
  </w:style>
  <w:style w:type="character" w:styleId="ListLabel20" w:customStyle="1">
    <w:name w:val="ListLabel 20"/>
    <w:qFormat/>
    <w:rsid w:val="00442cfb"/>
    <w:rPr>
      <w:rFonts w:cs="Wingdings"/>
    </w:rPr>
  </w:style>
  <w:style w:type="character" w:styleId="ListLabel21" w:customStyle="1">
    <w:name w:val="ListLabel 21"/>
    <w:qFormat/>
    <w:rsid w:val="00442cfb"/>
    <w:rPr>
      <w:rFonts w:cs="Symbol"/>
    </w:rPr>
  </w:style>
  <w:style w:type="character" w:styleId="ListLabel22" w:customStyle="1">
    <w:name w:val="ListLabel 22"/>
    <w:qFormat/>
    <w:rsid w:val="00442cfb"/>
    <w:rPr>
      <w:rFonts w:cs="Courier New"/>
    </w:rPr>
  </w:style>
  <w:style w:type="character" w:styleId="ListLabel23" w:customStyle="1">
    <w:name w:val="ListLabel 23"/>
    <w:qFormat/>
    <w:rsid w:val="00442cfb"/>
    <w:rPr>
      <w:rFonts w:cs="Wingdings"/>
    </w:rPr>
  </w:style>
  <w:style w:type="character" w:styleId="ListLabel24" w:customStyle="1">
    <w:name w:val="ListLabel 24"/>
    <w:qFormat/>
    <w:rsid w:val="00442cfb"/>
    <w:rPr>
      <w:rFonts w:ascii="Aial" w:hAnsi="Aial" w:eastAsia="Times New Roman" w:cs="Times New Roman"/>
      <w:sz w:val="18"/>
      <w:szCs w:val="18"/>
    </w:rPr>
  </w:style>
  <w:style w:type="character" w:styleId="ListLabel25" w:customStyle="1">
    <w:name w:val="ListLabel 25"/>
    <w:qFormat/>
    <w:rsid w:val="00442cfb"/>
    <w:rPr>
      <w:rFonts w:cs="Courier New"/>
    </w:rPr>
  </w:style>
  <w:style w:type="character" w:styleId="ListLabel26" w:customStyle="1">
    <w:name w:val="ListLabel 26"/>
    <w:qFormat/>
    <w:rsid w:val="00442cfb"/>
    <w:rPr>
      <w:rFonts w:cs="Wingdings"/>
    </w:rPr>
  </w:style>
  <w:style w:type="character" w:styleId="ListLabel27" w:customStyle="1">
    <w:name w:val="ListLabel 27"/>
    <w:qFormat/>
    <w:rsid w:val="00442cfb"/>
    <w:rPr>
      <w:rFonts w:cs="Symbol"/>
    </w:rPr>
  </w:style>
  <w:style w:type="character" w:styleId="ListLabel28" w:customStyle="1">
    <w:name w:val="ListLabel 28"/>
    <w:qFormat/>
    <w:rsid w:val="00442cfb"/>
    <w:rPr>
      <w:rFonts w:cs="Courier New"/>
    </w:rPr>
  </w:style>
  <w:style w:type="character" w:styleId="ListLabel29" w:customStyle="1">
    <w:name w:val="ListLabel 29"/>
    <w:qFormat/>
    <w:rsid w:val="00442cfb"/>
    <w:rPr>
      <w:rFonts w:cs="Wingdings"/>
    </w:rPr>
  </w:style>
  <w:style w:type="character" w:styleId="ListLabel30" w:customStyle="1">
    <w:name w:val="ListLabel 30"/>
    <w:qFormat/>
    <w:rsid w:val="00442cfb"/>
    <w:rPr>
      <w:rFonts w:cs="Symbol"/>
    </w:rPr>
  </w:style>
  <w:style w:type="character" w:styleId="ListLabel31" w:customStyle="1">
    <w:name w:val="ListLabel 31"/>
    <w:qFormat/>
    <w:rsid w:val="00442cfb"/>
    <w:rPr>
      <w:rFonts w:cs="Courier New"/>
    </w:rPr>
  </w:style>
  <w:style w:type="character" w:styleId="ListLabel32" w:customStyle="1">
    <w:name w:val="ListLabel 32"/>
    <w:qFormat/>
    <w:rsid w:val="00442cfb"/>
    <w:rPr>
      <w:rFonts w:cs="Wingdings"/>
    </w:rPr>
  </w:style>
  <w:style w:type="character" w:styleId="Titre2Car" w:customStyle="1">
    <w:name w:val="Titre 2 Car"/>
    <w:basedOn w:val="DefaultParagraphFont"/>
    <w:link w:val="Titre2"/>
    <w:uiPriority w:val="9"/>
    <w:qFormat/>
    <w:rsid w:val="00436192"/>
    <w:rPr>
      <w:rFonts w:ascii="Cambria" w:hAnsi="Cambria" w:eastAsia="" w:cs="Mangal" w:asciiTheme="majorHAnsi" w:eastAsiaTheme="majorEastAsia" w:hAnsiTheme="majorHAnsi"/>
      <w:color w:val="365F91" w:themeColor="accent1" w:themeShade="bf"/>
      <w:sz w:val="26"/>
      <w:szCs w:val="23"/>
    </w:rPr>
  </w:style>
  <w:style w:type="character" w:styleId="ListLabel33">
    <w:name w:val="ListLabel 33"/>
    <w:qFormat/>
    <w:rPr>
      <w:rFonts w:eastAsia="Times New Roman" w:cs="Times New Roman"/>
      <w:sz w:val="20"/>
      <w:szCs w:val="18"/>
    </w:rPr>
  </w:style>
  <w:style w:type="character" w:styleId="ListLabel34">
    <w:name w:val="ListLabel 34"/>
    <w:qFormat/>
    <w:rPr>
      <w:rFonts w:cs="Courier New"/>
    </w:rPr>
  </w:style>
  <w:style w:type="character" w:styleId="ListLabel35">
    <w:name w:val="ListLabel 35"/>
    <w:qFormat/>
    <w:rPr>
      <w:rFonts w:cs="Wingdings"/>
    </w:rPr>
  </w:style>
  <w:style w:type="character" w:styleId="ListLabel36">
    <w:name w:val="ListLabel 36"/>
    <w:qFormat/>
    <w:rPr>
      <w:rFonts w:cs="Symbol"/>
    </w:rPr>
  </w:style>
  <w:style w:type="character" w:styleId="ListLabel37">
    <w:name w:val="ListLabel 37"/>
    <w:qFormat/>
    <w:rPr>
      <w:rFonts w:cs="Courier New"/>
    </w:rPr>
  </w:style>
  <w:style w:type="character" w:styleId="ListLabel38">
    <w:name w:val="ListLabel 38"/>
    <w:qFormat/>
    <w:rPr>
      <w:rFonts w:cs="Wingdings"/>
    </w:rPr>
  </w:style>
  <w:style w:type="character" w:styleId="ListLabel39">
    <w:name w:val="ListLabel 39"/>
    <w:qFormat/>
    <w:rPr>
      <w:rFonts w:cs="Symbol"/>
    </w:rPr>
  </w:style>
  <w:style w:type="character" w:styleId="ListLabel40">
    <w:name w:val="ListLabel 40"/>
    <w:qFormat/>
    <w:rPr>
      <w:rFonts w:cs="Courier New"/>
    </w:rPr>
  </w:style>
  <w:style w:type="character" w:styleId="ListLabel41">
    <w:name w:val="ListLabel 41"/>
    <w:qFormat/>
    <w:rPr>
      <w:rFonts w:cs="Wingdings"/>
    </w:rPr>
  </w:style>
  <w:style w:type="character" w:styleId="ListLabel42">
    <w:name w:val="ListLabel 42"/>
    <w:qFormat/>
    <w:rPr>
      <w:rFonts w:eastAsia="Droid Sans Fallback" w:cs="Liberation Serif"/>
      <w:sz w:val="20"/>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ascii="DejaVu Sans" w:hAnsi="DejaVu Sans" w:eastAsia="Times New Roman" w:cs="Times New Roman"/>
      <w:sz w:val="20"/>
      <w:szCs w:val="18"/>
    </w:rPr>
  </w:style>
  <w:style w:type="character" w:styleId="ListLabel47">
    <w:name w:val="ListLabel 47"/>
    <w:qFormat/>
    <w:rPr>
      <w:rFonts w:cs="Courier New"/>
    </w:rPr>
  </w:style>
  <w:style w:type="character" w:styleId="ListLabel48">
    <w:name w:val="ListLabel 48"/>
    <w:qFormat/>
    <w:rPr>
      <w:rFonts w:cs="Wingdings"/>
    </w:rPr>
  </w:style>
  <w:style w:type="character" w:styleId="ListLabel49">
    <w:name w:val="ListLabel 49"/>
    <w:qFormat/>
    <w:rPr>
      <w:rFonts w:cs="Symbol"/>
    </w:rPr>
  </w:style>
  <w:style w:type="character" w:styleId="ListLabel50">
    <w:name w:val="ListLabel 50"/>
    <w:qFormat/>
    <w:rPr>
      <w:rFonts w:cs="Courier New"/>
    </w:rPr>
  </w:style>
  <w:style w:type="character" w:styleId="ListLabel51">
    <w:name w:val="ListLabel 51"/>
    <w:qFormat/>
    <w:rPr>
      <w:rFonts w:cs="Wingdings"/>
    </w:rPr>
  </w:style>
  <w:style w:type="character" w:styleId="ListLabel52">
    <w:name w:val="ListLabel 52"/>
    <w:qFormat/>
    <w:rPr>
      <w:rFonts w:cs="Symbol"/>
    </w:rPr>
  </w:style>
  <w:style w:type="character" w:styleId="ListLabel53">
    <w:name w:val="ListLabel 53"/>
    <w:qFormat/>
    <w:rPr>
      <w:rFonts w:cs="Courier New"/>
    </w:rPr>
  </w:style>
  <w:style w:type="character" w:styleId="ListLabel54">
    <w:name w:val="ListLabel 54"/>
    <w:qFormat/>
    <w:rPr>
      <w:rFonts w:cs="Wingdings"/>
    </w:rPr>
  </w:style>
  <w:style w:type="character" w:styleId="ListLabel55">
    <w:name w:val="ListLabel 55"/>
    <w:qFormat/>
    <w:rPr>
      <w:rFonts w:ascii="DejaVu Sans" w:hAnsi="DejaVu Sans" w:eastAsia="Times New Roman" w:cs="Times New Roman"/>
      <w:sz w:val="20"/>
      <w:szCs w:val="18"/>
    </w:rPr>
  </w:style>
  <w:style w:type="character" w:styleId="ListLabel56">
    <w:name w:val="ListLabel 56"/>
    <w:qFormat/>
    <w:rPr>
      <w:rFonts w:cs="Courier New"/>
    </w:rPr>
  </w:style>
  <w:style w:type="character" w:styleId="ListLabel57">
    <w:name w:val="ListLabel 57"/>
    <w:qFormat/>
    <w:rPr>
      <w:rFonts w:cs="Wingdings"/>
    </w:rPr>
  </w:style>
  <w:style w:type="character" w:styleId="ListLabel58">
    <w:name w:val="ListLabel 58"/>
    <w:qFormat/>
    <w:rPr>
      <w:rFonts w:cs="Symbol"/>
    </w:rPr>
  </w:style>
  <w:style w:type="character" w:styleId="ListLabel59">
    <w:name w:val="ListLabel 59"/>
    <w:qFormat/>
    <w:rPr>
      <w:rFonts w:cs="Courier New"/>
    </w:rPr>
  </w:style>
  <w:style w:type="character" w:styleId="ListLabel60">
    <w:name w:val="ListLabel 60"/>
    <w:qFormat/>
    <w:rPr>
      <w:rFonts w:cs="Wingdings"/>
    </w:rPr>
  </w:style>
  <w:style w:type="character" w:styleId="ListLabel61">
    <w:name w:val="ListLabel 61"/>
    <w:qFormat/>
    <w:rPr>
      <w:rFonts w:cs="Symbol"/>
    </w:rPr>
  </w:style>
  <w:style w:type="character" w:styleId="ListLabel62">
    <w:name w:val="ListLabel 62"/>
    <w:qFormat/>
    <w:rPr>
      <w:rFonts w:cs="Courier New"/>
    </w:rPr>
  </w:style>
  <w:style w:type="character" w:styleId="ListLabel63">
    <w:name w:val="ListLabel 63"/>
    <w:qFormat/>
    <w:rPr>
      <w:rFonts w:cs="Wingdings"/>
    </w:rPr>
  </w:style>
  <w:style w:type="character" w:styleId="ListLabel64">
    <w:name w:val="ListLabel 64"/>
    <w:qFormat/>
    <w:rPr>
      <w:rFonts w:ascii="DejaVu Sans" w:hAnsi="DejaVu Sans" w:eastAsia="Times New Roman" w:cs="Times New Roman"/>
      <w:sz w:val="20"/>
      <w:szCs w:val="18"/>
    </w:rPr>
  </w:style>
  <w:style w:type="character" w:styleId="ListLabel65">
    <w:name w:val="ListLabel 65"/>
    <w:qFormat/>
    <w:rPr>
      <w:rFonts w:cs="Courier New"/>
    </w:rPr>
  </w:style>
  <w:style w:type="character" w:styleId="ListLabel66">
    <w:name w:val="ListLabel 66"/>
    <w:qFormat/>
    <w:rPr>
      <w:rFonts w:cs="Wingdings"/>
    </w:rPr>
  </w:style>
  <w:style w:type="character" w:styleId="ListLabel67">
    <w:name w:val="ListLabel 67"/>
    <w:qFormat/>
    <w:rPr>
      <w:rFonts w:cs="Symbol"/>
    </w:rPr>
  </w:style>
  <w:style w:type="character" w:styleId="ListLabel68">
    <w:name w:val="ListLabel 68"/>
    <w:qFormat/>
    <w:rPr>
      <w:rFonts w:cs="Courier New"/>
    </w:rPr>
  </w:style>
  <w:style w:type="character" w:styleId="ListLabel69">
    <w:name w:val="ListLabel 69"/>
    <w:qFormat/>
    <w:rPr>
      <w:rFonts w:cs="Wingdings"/>
    </w:rPr>
  </w:style>
  <w:style w:type="character" w:styleId="ListLabel70">
    <w:name w:val="ListLabel 70"/>
    <w:qFormat/>
    <w:rPr>
      <w:rFonts w:cs="Symbol"/>
    </w:rPr>
  </w:style>
  <w:style w:type="character" w:styleId="ListLabel71">
    <w:name w:val="ListLabel 71"/>
    <w:qFormat/>
    <w:rPr>
      <w:rFonts w:cs="Courier New"/>
    </w:rPr>
  </w:style>
  <w:style w:type="character" w:styleId="ListLabel72">
    <w:name w:val="ListLabel 72"/>
    <w:qFormat/>
    <w:rPr>
      <w:rFonts w:cs="Wingdings"/>
    </w:rPr>
  </w:style>
  <w:style w:type="paragraph" w:styleId="Titre">
    <w:name w:val="Titre"/>
    <w:basedOn w:val="Normal"/>
    <w:next w:val="Corpsdetexte"/>
    <w:qFormat/>
    <w:pPr>
      <w:keepNext/>
      <w:spacing w:before="240" w:after="120"/>
    </w:pPr>
    <w:rPr>
      <w:rFonts w:ascii="Liberation Sans" w:hAnsi="Liberation Sans" w:eastAsia="Noto Sans CJK SC Regular" w:cs="FreeSans"/>
      <w:sz w:val="28"/>
      <w:szCs w:val="28"/>
    </w:rPr>
  </w:style>
  <w:style w:type="paragraph" w:styleId="Corpsdetexte">
    <w:name w:val="Body Text"/>
    <w:basedOn w:val="Normal"/>
    <w:rsid w:val="00442cfb"/>
    <w:pPr>
      <w:spacing w:lineRule="auto" w:line="288" w:before="0" w:after="140"/>
    </w:pPr>
    <w:rPr/>
  </w:style>
  <w:style w:type="paragraph" w:styleId="Liste">
    <w:name w:val="List"/>
    <w:basedOn w:val="Corpsdetexte"/>
    <w:rsid w:val="00442cfb"/>
    <w:pPr>
      <w:widowControl w:val="false"/>
    </w:pPr>
    <w:rPr>
      <w:rFonts w:cs="Lohit Hindi"/>
    </w:rPr>
  </w:style>
  <w:style w:type="paragraph" w:styleId="Lgende">
    <w:name w:val="Caption"/>
    <w:basedOn w:val="Normal"/>
    <w:qFormat/>
    <w:pPr>
      <w:suppressLineNumbers/>
      <w:spacing w:before="120" w:after="120"/>
    </w:pPr>
    <w:rPr>
      <w:rFonts w:cs="FreeSans"/>
      <w:i/>
      <w:iCs/>
      <w:sz w:val="24"/>
      <w:szCs w:val="24"/>
    </w:rPr>
  </w:style>
  <w:style w:type="paragraph" w:styleId="Index" w:customStyle="1">
    <w:name w:val="Index"/>
    <w:basedOn w:val="Normal"/>
    <w:qFormat/>
    <w:rsid w:val="00442cfb"/>
    <w:pPr>
      <w:widowControl w:val="false"/>
      <w:suppressLineNumbers/>
    </w:pPr>
    <w:rPr>
      <w:rFonts w:cs="Lohit Hindi"/>
    </w:rPr>
  </w:style>
  <w:style w:type="paragraph" w:styleId="Titreprincipal">
    <w:name w:val="Title"/>
    <w:basedOn w:val="Normal"/>
    <w:qFormat/>
    <w:rsid w:val="00442cfb"/>
    <w:pPr>
      <w:keepNext/>
      <w:spacing w:before="240" w:after="120"/>
    </w:pPr>
    <w:rPr>
      <w:rFonts w:ascii="Liberation Sans" w:hAnsi="Liberation Sans" w:eastAsia="Noto Sans CJK SC Regular"/>
      <w:sz w:val="28"/>
      <w:szCs w:val="28"/>
    </w:rPr>
  </w:style>
  <w:style w:type="paragraph" w:styleId="Caption">
    <w:name w:val="caption"/>
    <w:qFormat/>
    <w:rsid w:val="00442cfb"/>
    <w:pPr>
      <w:widowControl w:val="false"/>
      <w:suppressLineNumbers/>
      <w:bidi w:val="0"/>
      <w:spacing w:before="120" w:after="120"/>
      <w:jc w:val="left"/>
    </w:pPr>
    <w:rPr>
      <w:rFonts w:ascii="Liberation Serif" w:hAnsi="Liberation Serif" w:eastAsia="Droid Sans Fallback" w:cs="Lohit Hindi"/>
      <w:i/>
      <w:iCs/>
      <w:color w:val="00000A"/>
      <w:sz w:val="24"/>
      <w:szCs w:val="24"/>
      <w:lang w:val="fr-FR" w:eastAsia="zh-CN" w:bidi="hi-IN"/>
    </w:rPr>
  </w:style>
  <w:style w:type="paragraph" w:styleId="Normal1" w:customStyle="1">
    <w:name w:val="Normal1"/>
    <w:qFormat/>
    <w:rsid w:val="00442cfb"/>
    <w:pPr>
      <w:widowControl/>
      <w:suppressAutoHyphens w:val="true"/>
      <w:bidi w:val="0"/>
      <w:spacing w:lineRule="atLeast" w:line="100"/>
      <w:jc w:val="left"/>
    </w:pPr>
    <w:rPr>
      <w:rFonts w:ascii="Times New Roman" w:hAnsi="Times New Roman" w:eastAsia="Times New Roman" w:cs="Times New Roman"/>
      <w:color w:val="00000A"/>
      <w:sz w:val="24"/>
      <w:szCs w:val="24"/>
      <w:lang w:val="fr-FR" w:eastAsia="fr-FR" w:bidi="ar-SA"/>
    </w:rPr>
  </w:style>
  <w:style w:type="paragraph" w:styleId="Titre11" w:customStyle="1">
    <w:name w:val="Titre1"/>
    <w:basedOn w:val="Normal1"/>
    <w:link w:val="TitreCar"/>
    <w:qFormat/>
    <w:rsid w:val="00442cfb"/>
    <w:pPr>
      <w:keepNext/>
      <w:spacing w:before="240" w:after="120"/>
    </w:pPr>
    <w:rPr>
      <w:rFonts w:ascii="Arial" w:hAnsi="Arial" w:eastAsia="DejaVu Sans" w:cs="Lohit Hindi"/>
      <w:sz w:val="28"/>
      <w:szCs w:val="28"/>
    </w:rPr>
  </w:style>
  <w:style w:type="paragraph" w:styleId="Corpsdetexte1" w:customStyle="1">
    <w:name w:val="Corps de texte1"/>
    <w:basedOn w:val="Normal1"/>
    <w:qFormat/>
    <w:rsid w:val="00442cfb"/>
    <w:pPr>
      <w:spacing w:lineRule="auto" w:line="288" w:before="0" w:after="120"/>
    </w:pPr>
    <w:rPr/>
  </w:style>
  <w:style w:type="paragraph" w:styleId="Soustitre">
    <w:name w:val="Subtitle"/>
    <w:basedOn w:val="Normal1"/>
    <w:qFormat/>
    <w:rsid w:val="00442cfb"/>
    <w:pPr/>
    <w:rPr>
      <w:rFonts w:ascii="Cambria" w:hAnsi="Cambria" w:cs="F"/>
      <w:i/>
      <w:iCs/>
      <w:color w:val="4F81BD"/>
      <w:spacing w:val="15"/>
    </w:rPr>
  </w:style>
  <w:style w:type="paragraph" w:styleId="NoSpacing">
    <w:name w:val="No Spacing"/>
    <w:uiPriority w:val="1"/>
    <w:qFormat/>
    <w:rsid w:val="00442cfb"/>
    <w:pPr>
      <w:widowControl/>
      <w:suppressAutoHyphens w:val="true"/>
      <w:bidi w:val="0"/>
      <w:spacing w:lineRule="atLeast" w:line="100"/>
      <w:jc w:val="left"/>
    </w:pPr>
    <w:rPr>
      <w:rFonts w:ascii="Times New Roman" w:hAnsi="Times New Roman" w:eastAsia="Times New Roman" w:cs="Times New Roman"/>
      <w:color w:val="00000A"/>
      <w:sz w:val="24"/>
      <w:szCs w:val="24"/>
      <w:lang w:val="fr-FR" w:eastAsia="fr-FR" w:bidi="ar-SA"/>
    </w:rPr>
  </w:style>
  <w:style w:type="paragraph" w:styleId="Entte">
    <w:name w:val="Header"/>
    <w:basedOn w:val="Normal1"/>
    <w:rsid w:val="00442cfb"/>
    <w:pPr>
      <w:tabs>
        <w:tab w:val="center" w:pos="4536" w:leader="none"/>
        <w:tab w:val="right" w:pos="9072" w:leader="none"/>
      </w:tabs>
    </w:pPr>
    <w:rPr/>
  </w:style>
  <w:style w:type="paragraph" w:styleId="Pieddepage">
    <w:name w:val="Footer"/>
    <w:basedOn w:val="Normal1"/>
    <w:rsid w:val="00442cfb"/>
    <w:pPr>
      <w:tabs>
        <w:tab w:val="center" w:pos="4536" w:leader="none"/>
        <w:tab w:val="right" w:pos="9072" w:leader="none"/>
      </w:tabs>
    </w:pPr>
    <w:rPr/>
  </w:style>
  <w:style w:type="paragraph" w:styleId="NormalWeb">
    <w:name w:val="Normal (Web)"/>
    <w:basedOn w:val="Normal1"/>
    <w:uiPriority w:val="99"/>
    <w:qFormat/>
    <w:rsid w:val="00442cfb"/>
    <w:pPr>
      <w:spacing w:before="100" w:after="100"/>
    </w:pPr>
    <w:rPr/>
  </w:style>
  <w:style w:type="paragraph" w:styleId="BalloonText">
    <w:name w:val="Balloon Text"/>
    <w:basedOn w:val="Normal1"/>
    <w:qFormat/>
    <w:rsid w:val="00442cfb"/>
    <w:pPr/>
    <w:rPr>
      <w:rFonts w:ascii="Tahoma" w:hAnsi="Tahoma" w:cs="Tahoma"/>
      <w:sz w:val="16"/>
      <w:szCs w:val="16"/>
    </w:rPr>
  </w:style>
  <w:style w:type="paragraph" w:styleId="Contenudecadre" w:customStyle="1">
    <w:name w:val="Contenu de cadre"/>
    <w:basedOn w:val="Corpsdetexte1"/>
    <w:qFormat/>
    <w:rsid w:val="00442cfb"/>
    <w:pPr/>
    <w:rPr/>
  </w:style>
  <w:style w:type="paragraph" w:styleId="Titre21" w:customStyle="1">
    <w:name w:val="Titre2"/>
    <w:basedOn w:val="Normal1"/>
    <w:next w:val="Normal1"/>
    <w:uiPriority w:val="10"/>
    <w:qFormat/>
    <w:rsid w:val="00c36cd6"/>
    <w:pPr>
      <w:pBdr>
        <w:bottom w:val="single" w:sz="8" w:space="4" w:color="4F81BD"/>
      </w:pBdr>
      <w:spacing w:before="0" w:after="300"/>
      <w:contextualSpacing/>
    </w:pPr>
    <w:rPr>
      <w:rFonts w:ascii="Cambria" w:hAnsi="Cambria" w:cs="Mangal"/>
      <w:color w:val="17365D"/>
      <w:spacing w:val="5"/>
      <w:sz w:val="52"/>
      <w:szCs w:val="47"/>
    </w:rPr>
  </w:style>
  <w:style w:type="paragraph" w:styleId="ListParagraph">
    <w:name w:val="List Paragraph"/>
    <w:basedOn w:val="Normal1"/>
    <w:uiPriority w:val="34"/>
    <w:qFormat/>
    <w:rsid w:val="00d32b44"/>
    <w:pPr>
      <w:spacing w:before="0" w:after="0"/>
      <w:ind w:left="720" w:hanging="0"/>
      <w:contextualSpacing/>
    </w:pPr>
    <w:rPr>
      <w:rFonts w:cs="Mangal"/>
      <w:szCs w:val="21"/>
    </w:rPr>
  </w:style>
  <w:style w:type="paragraph" w:styleId="Contenudetableau" w:customStyle="1">
    <w:name w:val="Contenu de tableau"/>
    <w:basedOn w:val="Normal"/>
    <w:qFormat/>
    <w:rsid w:val="00442cfb"/>
    <w:pPr/>
    <w:rPr/>
  </w:style>
  <w:style w:type="paragraph" w:styleId="Tableau" w:customStyle="1">
    <w:name w:val="Tableau"/>
    <w:basedOn w:val="Caption"/>
    <w:qFormat/>
    <w:rsid w:val="00442cfb"/>
    <w:pPr/>
    <w:rPr/>
  </w:style>
  <w:style w:type="paragraph" w:styleId="Titredetableau" w:customStyle="1">
    <w:name w:val="Titre de tableau"/>
    <w:basedOn w:val="Contenudetableau"/>
    <w:qFormat/>
    <w:rsid w:val="00442cfb"/>
    <w:pPr/>
    <w:rPr/>
  </w:style>
  <w:style w:type="numbering" w:styleId="NoList" w:default="1">
    <w:name w:val="No List"/>
    <w:uiPriority w:val="99"/>
    <w:semiHidden/>
    <w:unhideWhenUsed/>
    <w:qFormat/>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table" w:styleId="Grilledutableau">
    <w:name w:val="Table Grid"/>
    <w:basedOn w:val="TableauNormal"/>
    <w:uiPriority w:val="59"/>
    <w:rsid w:val="00915c4a"/>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footer" Target="footer1.xml"/><Relationship Id="rId6" Type="http://schemas.openxmlformats.org/officeDocument/2006/relationships/package" Target="embeddings/oleObject1.xlsx"/><Relationship Id="rId7" Type="http://schemas.openxmlformats.org/officeDocument/2006/relationships/image" Target="media/image4.emf"/><Relationship Id="rId8" Type="http://schemas.openxmlformats.org/officeDocument/2006/relationships/image" Target="media/image5.wmf"/><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C9B7D-F91A-411F-B576-97B1AABED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Application>LibreOffice/5.1.6.2$Linux_X86_64 LibreOffice_project/10m0$Build-2</Application>
  <Pages>6</Pages>
  <Words>2204</Words>
  <Characters>11385</Characters>
  <CharactersWithSpaces>13349</CharactersWithSpaces>
  <Paragraphs>161</Paragraphs>
  <Company>ADEME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2015-08-27T08:49:00Z</dcterms:created>
  <dc:creator>jean marc</dc:creator>
  <dc:description/>
  <dc:language>fr-FR</dc:language>
  <cp:lastModifiedBy/>
  <dcterms:modified xsi:type="dcterms:W3CDTF">2018-01-17T19:44:29Z</dcterms:modified>
  <cp:revision>80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ADEME</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