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9.png" ContentType="image/png"/>
  <Override PartName="/word/media/image8.png" ContentType="image/png"/>
  <Override PartName="/word/media/image7.png" ContentType="image/png"/>
  <Override PartName="/word/media/image6.wmf" ContentType="image/x-wmf"/>
  <Override PartName="/word/media/image5.png" ContentType="image/png"/>
  <Override PartName="/word/media/image1.jpeg" ContentType="image/jpeg"/>
  <Override PartName="/word/media/image2.jpeg" ContentType="image/jpeg"/>
  <Override PartName="/word/media/image3.jpeg" ContentType="image/jpeg"/>
  <Override PartName="/word/media/image4.png" ContentType="image/png"/>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jc w:val="center"/>
        <w:rPr/>
      </w:pPr>
      <w:r>
        <w:rPr/>
        <w:drawing>
          <wp:inline distT="0" distB="0" distL="0" distR="0">
            <wp:extent cx="744220" cy="447040"/>
            <wp:effectExtent l="0" t="0" r="0" b="0"/>
            <wp:docPr id="1" name="Picture" descr="C:\Users\jarry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C:\Users\jarryl\Desktop\th.jpg"/>
                    <pic:cNvPicPr>
                      <a:picLocks noChangeAspect="1" noChangeArrowheads="1"/>
                    </pic:cNvPicPr>
                  </pic:nvPicPr>
                  <pic:blipFill>
                    <a:blip r:embed="rId2"/>
                    <a:stretch>
                      <a:fillRect/>
                    </a:stretch>
                  </pic:blipFill>
                  <pic:spPr bwMode="auto">
                    <a:xfrm>
                      <a:off x="0" y="0"/>
                      <a:ext cx="744220" cy="447040"/>
                    </a:xfrm>
                    <a:prstGeom prst="rect">
                      <a:avLst/>
                    </a:prstGeom>
                  </pic:spPr>
                </pic:pic>
              </a:graphicData>
            </a:graphic>
          </wp:inline>
        </w:drawing>
      </w:r>
      <w:r>
        <w:rPr>
          <w:color w:val="244061"/>
        </w:rPr>
        <w:t xml:space="preserve"> </w:t>
      </w:r>
      <w:r>
        <w:rPr>
          <w:rFonts w:ascii="Cambria" w:hAnsi="Cambria"/>
          <w:b/>
          <w:color w:val="244061"/>
        </w:rPr>
        <w:t xml:space="preserve">Commune Rurale d’Ingall (Niger) - Chlorophylle France </w:t>
      </w:r>
      <w:r>
        <w:rPr>
          <w:rFonts w:ascii="Cambria" w:hAnsi="Cambria"/>
          <w:b/>
          <w:color w:val="244061"/>
        </w:rPr>
        <w:drawing>
          <wp:inline distT="0" distB="0" distL="0" distR="0">
            <wp:extent cx="570865" cy="542290"/>
            <wp:effectExtent l="0" t="0" r="0" b="0"/>
            <wp:docPr id="2" name="Image1" descr="C:\Users\jarryl\Desktop\chlor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descr="C:\Users\jarryl\Desktop\chlorologo.jpg"/>
                    <pic:cNvPicPr>
                      <a:picLocks noChangeAspect="1" noChangeArrowheads="1"/>
                    </pic:cNvPicPr>
                  </pic:nvPicPr>
                  <pic:blipFill>
                    <a:blip r:embed="rId3"/>
                    <a:stretch>
                      <a:fillRect/>
                    </a:stretch>
                  </pic:blipFill>
                  <pic:spPr bwMode="auto">
                    <a:xfrm>
                      <a:off x="0" y="0"/>
                      <a:ext cx="570865" cy="542290"/>
                    </a:xfrm>
                    <a:prstGeom prst="rect">
                      <a:avLst/>
                    </a:prstGeom>
                  </pic:spPr>
                </pic:pic>
              </a:graphicData>
            </a:graphic>
          </wp:inline>
        </w:drawing>
      </w:r>
    </w:p>
    <w:p>
      <w:pPr>
        <w:pStyle w:val="Normal1"/>
        <w:rPr>
          <w:color w:val="244061"/>
        </w:rPr>
      </w:pPr>
      <w:r>
        <w:rPr>
          <w:color w:val="244061"/>
        </w:rPr>
      </w:r>
    </w:p>
    <w:tbl>
      <w:tblPr>
        <w:tblW w:w="10184" w:type="dxa"/>
        <w:jc w:val="left"/>
        <w:tblInd w:w="-31" w:type="dxa"/>
        <w:tblBorders>
          <w:top w:val="single" w:sz="6" w:space="0" w:color="000001"/>
          <w:left w:val="single" w:sz="6" w:space="0" w:color="000001"/>
          <w:bottom w:val="single" w:sz="6" w:space="0" w:color="000001"/>
          <w:right w:val="single" w:sz="6" w:space="0" w:color="000001"/>
          <w:insideH w:val="single" w:sz="6" w:space="0" w:color="000001"/>
          <w:insideV w:val="single" w:sz="6" w:space="0" w:color="000001"/>
        </w:tblBorders>
        <w:tblCellMar>
          <w:top w:w="105" w:type="dxa"/>
          <w:left w:w="-7" w:type="dxa"/>
          <w:bottom w:w="105" w:type="dxa"/>
          <w:right w:w="105" w:type="dxa"/>
        </w:tblCellMar>
        <w:tblLook w:val="04a0" w:noVBand="1" w:noHBand="0" w:firstRow="1" w:lastRow="0" w:firstColumn="1" w:lastColumn="0"/>
      </w:tblPr>
      <w:tblGrid>
        <w:gridCol w:w="10184"/>
      </w:tblGrid>
      <w:tr>
        <w:trPr/>
        <w:tc>
          <w:tcPr>
            <w:tcW w:w="10184"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color="auto" w:fill="FFFFFF" w:val="clear"/>
            <w:tcMar>
              <w:left w:w="-7" w:type="dxa"/>
            </w:tcMar>
          </w:tcPr>
          <w:p>
            <w:pPr>
              <w:pStyle w:val="Titreprincipal"/>
              <w:jc w:val="center"/>
              <w:rPr>
                <w:sz w:val="32"/>
                <w:szCs w:val="32"/>
              </w:rPr>
            </w:pPr>
            <w:r>
              <w:rPr>
                <w:b/>
                <w:color w:val="244061"/>
                <w:sz w:val="32"/>
                <w:szCs w:val="32"/>
              </w:rPr>
              <w:t>ACCÈS A L'EAU ET A L'ASSAINISSEMENT AU PROFIT DE LA POPULATION DE LA COMMUNE D'INGALL</w:t>
            </w:r>
          </w:p>
          <w:p>
            <w:pPr>
              <w:pStyle w:val="Titreprincipal"/>
              <w:jc w:val="center"/>
              <w:rPr/>
            </w:pPr>
            <w:r>
              <w:rPr>
                <w:b/>
                <w:color w:val="244061"/>
                <w:sz w:val="32"/>
                <w:szCs w:val="32"/>
              </w:rPr>
              <w:t>2017-2018</w:t>
            </w:r>
          </w:p>
          <w:p>
            <w:pPr>
              <w:pStyle w:val="Normal1"/>
              <w:jc w:val="center"/>
              <w:rPr/>
            </w:pPr>
            <w:r>
              <w:rPr>
                <w:b/>
                <w:color w:val="244061"/>
                <w:sz w:val="32"/>
                <w:szCs w:val="32"/>
              </w:rPr>
              <w:t>Rapport intermédiaire janvier à juin 2017</w:t>
            </w:r>
          </w:p>
        </w:tc>
      </w:tr>
    </w:tbl>
    <w:p>
      <w:pPr>
        <w:pStyle w:val="Normal1"/>
        <w:rPr/>
      </w:pPr>
      <w:r>
        <w:drawing>
          <wp:anchor behindDoc="0" distT="0" distB="0" distL="0" distR="0" simplePos="0" locked="0" layoutInCell="1" allowOverlap="1" relativeHeight="2">
            <wp:simplePos x="0" y="0"/>
            <wp:positionH relativeFrom="column">
              <wp:posOffset>1433830</wp:posOffset>
            </wp:positionH>
            <wp:positionV relativeFrom="paragraph">
              <wp:posOffset>95885</wp:posOffset>
            </wp:positionV>
            <wp:extent cx="4062730" cy="3047365"/>
            <wp:effectExtent l="0" t="0" r="0" b="0"/>
            <wp:wrapSquare wrapText="largest"/>
            <wp:docPr id="3"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 descr=""/>
                    <pic:cNvPicPr>
                      <a:picLocks noChangeAspect="1" noChangeArrowheads="1"/>
                    </pic:cNvPicPr>
                  </pic:nvPicPr>
                  <pic:blipFill>
                    <a:blip r:embed="rId4"/>
                    <a:stretch>
                      <a:fillRect/>
                    </a:stretch>
                  </pic:blipFill>
                  <pic:spPr bwMode="auto">
                    <a:xfrm>
                      <a:off x="0" y="0"/>
                      <a:ext cx="4062730" cy="3047365"/>
                    </a:xfrm>
                    <a:prstGeom prst="rect">
                      <a:avLst/>
                    </a:prstGeom>
                  </pic:spPr>
                </pic:pic>
              </a:graphicData>
            </a:graphic>
          </wp:anchor>
        </w:drawing>
      </w:r>
      <w:r>
        <w:rPr>
          <w:color w:val="244061"/>
          <w:sz w:val="28"/>
          <w:szCs w:val="28"/>
        </w:rPr>
        <w:t xml:space="preserve"> </w:t>
      </w:r>
      <w:r>
        <w:rPr>
          <w:color w:val="244061"/>
          <w:sz w:val="28"/>
          <w:szCs w:val="28"/>
        </w:rPr>
        <w:t xml:space="preserve">                               </w:t>
      </w:r>
    </w:p>
    <w:p>
      <w:pPr>
        <w:pStyle w:val="Normal1"/>
        <w:rPr/>
      </w:pPr>
      <w:r>
        <w:rPr>
          <w:rFonts w:cs="Tahoma" w:ascii="Tahoma" w:hAnsi="Tahoma"/>
          <w:color w:val="244061"/>
          <w:sz w:val="32"/>
          <w:szCs w:val="28"/>
        </w:rPr>
        <w:t xml:space="preserve">                    </w:t>
      </w:r>
      <w:r>
        <w:rPr>
          <w:rFonts w:cs="Tahoma" w:ascii="Tahoma" w:hAnsi="Tahoma"/>
          <w:b/>
          <w:bCs/>
          <w:color w:val="244061"/>
          <w:sz w:val="40"/>
          <w:szCs w:val="36"/>
        </w:rPr>
        <w:t xml:space="preserve">               </w:t>
      </w:r>
    </w:p>
    <w:p>
      <w:pPr>
        <w:pStyle w:val="Normal1"/>
        <w:rPr>
          <w:color w:val="244061"/>
        </w:rPr>
      </w:pPr>
      <w:r>
        <w:rPr>
          <w:color w:val="244061"/>
        </w:rPr>
      </w:r>
    </w:p>
    <w:p>
      <w:pPr>
        <w:pStyle w:val="Normal1"/>
        <w:jc w:val="center"/>
        <w:rPr/>
      </w:pPr>
      <w:r>
        <w:rPr/>
      </w:r>
    </w:p>
    <w:p>
      <w:pPr>
        <w:pStyle w:val="Normal1"/>
        <w:jc w:val="center"/>
        <w:rPr>
          <w:color w:val="244061"/>
        </w:rPr>
      </w:pPr>
      <w:r>
        <w:rPr>
          <w:color w:val="244061"/>
        </w:rPr>
      </w:r>
    </w:p>
    <w:p>
      <w:pPr>
        <w:pStyle w:val="Normal1"/>
        <w:jc w:val="center"/>
        <w:rPr>
          <w:rFonts w:ascii="Arial" w:hAnsi="Arial"/>
          <w:sz w:val="40"/>
          <w:szCs w:val="40"/>
        </w:rPr>
      </w:pPr>
      <w:r>
        <w:rPr>
          <w:rFonts w:ascii="Arial" w:hAnsi="Arial"/>
          <w:sz w:val="40"/>
          <w:szCs w:val="40"/>
        </w:rPr>
      </w:r>
    </w:p>
    <w:p>
      <w:pPr>
        <w:pStyle w:val="Normal1"/>
        <w:jc w:val="center"/>
        <w:rPr>
          <w:rFonts w:ascii="Arial" w:hAnsi="Arial"/>
          <w:sz w:val="40"/>
          <w:szCs w:val="40"/>
        </w:rPr>
      </w:pPr>
      <w:r>
        <w:rPr>
          <w:rFonts w:ascii="Arial" w:hAnsi="Arial"/>
          <w:sz w:val="40"/>
          <w:szCs w:val="40"/>
        </w:rPr>
      </w:r>
    </w:p>
    <w:p>
      <w:pPr>
        <w:pStyle w:val="Normal1"/>
        <w:jc w:val="center"/>
        <w:rPr>
          <w:rFonts w:ascii="Arial" w:hAnsi="Arial"/>
          <w:sz w:val="40"/>
          <w:szCs w:val="40"/>
        </w:rPr>
      </w:pPr>
      <w:r>
        <w:rPr>
          <w:rFonts w:ascii="Arial" w:hAnsi="Arial"/>
          <w:sz w:val="40"/>
          <w:szCs w:val="40"/>
        </w:rPr>
      </w:r>
    </w:p>
    <w:p>
      <w:pPr>
        <w:pStyle w:val="Normal1"/>
        <w:jc w:val="center"/>
        <w:rPr>
          <w:rFonts w:ascii="Arial" w:hAnsi="Arial"/>
          <w:sz w:val="40"/>
          <w:szCs w:val="40"/>
        </w:rPr>
      </w:pPr>
      <w:r>
        <w:rPr>
          <w:rFonts w:ascii="Arial" w:hAnsi="Arial"/>
          <w:sz w:val="40"/>
          <w:szCs w:val="40"/>
        </w:rPr>
      </w:r>
    </w:p>
    <w:p>
      <w:pPr>
        <w:pStyle w:val="Normal1"/>
        <w:jc w:val="center"/>
        <w:rPr>
          <w:rFonts w:ascii="Arial" w:hAnsi="Arial"/>
          <w:sz w:val="40"/>
          <w:szCs w:val="40"/>
        </w:rPr>
      </w:pPr>
      <w:r>
        <w:rPr>
          <w:rFonts w:ascii="Arial" w:hAnsi="Arial"/>
          <w:sz w:val="40"/>
          <w:szCs w:val="40"/>
        </w:rPr>
      </w:r>
    </w:p>
    <w:p>
      <w:pPr>
        <w:pStyle w:val="Normal1"/>
        <w:jc w:val="center"/>
        <w:rPr>
          <w:rFonts w:ascii="Arial" w:hAnsi="Arial"/>
          <w:sz w:val="40"/>
          <w:szCs w:val="40"/>
        </w:rPr>
      </w:pPr>
      <w:r>
        <w:rPr>
          <w:rFonts w:ascii="Arial" w:hAnsi="Arial"/>
          <w:sz w:val="40"/>
          <w:szCs w:val="40"/>
        </w:rPr>
      </w:r>
    </w:p>
    <w:p>
      <w:pPr>
        <w:pStyle w:val="Normal1"/>
        <w:jc w:val="center"/>
        <w:rPr>
          <w:rFonts w:ascii="Arial" w:hAnsi="Arial"/>
          <w:sz w:val="40"/>
          <w:szCs w:val="40"/>
        </w:rPr>
      </w:pPr>
      <w:r>
        <w:rPr>
          <w:rFonts w:ascii="Arial" w:hAnsi="Arial"/>
          <w:sz w:val="40"/>
          <w:szCs w:val="40"/>
        </w:rPr>
      </w:r>
    </w:p>
    <w:p>
      <w:pPr>
        <w:pStyle w:val="Normal1"/>
        <w:jc w:val="center"/>
        <w:rPr>
          <w:rFonts w:ascii="Arial" w:hAnsi="Arial"/>
          <w:sz w:val="40"/>
          <w:szCs w:val="40"/>
        </w:rPr>
      </w:pPr>
      <w:r>
        <w:rPr>
          <w:rFonts w:ascii="Arial" w:hAnsi="Arial"/>
          <w:sz w:val="40"/>
          <w:szCs w:val="40"/>
        </w:rPr>
      </w:r>
    </w:p>
    <w:p>
      <w:pPr>
        <w:pStyle w:val="Normal1"/>
        <w:jc w:val="center"/>
        <w:rPr>
          <w:rFonts w:ascii="Arial" w:hAnsi="Arial"/>
          <w:sz w:val="40"/>
          <w:szCs w:val="40"/>
        </w:rPr>
      </w:pPr>
      <w:r>
        <w:rPr>
          <w:rFonts w:ascii="Arial" w:hAnsi="Arial"/>
          <w:sz w:val="40"/>
          <w:szCs w:val="40"/>
        </w:rPr>
      </w:r>
    </w:p>
    <w:p>
      <w:pPr>
        <w:pStyle w:val="Titre1"/>
        <w:spacing w:before="240" w:after="0"/>
        <w:rPr/>
      </w:pPr>
      <w:r>
        <w:rPr>
          <w:rFonts w:ascii="Arial" w:hAnsi="Arial"/>
          <w:color w:val="244061"/>
          <w:szCs w:val="28"/>
        </w:rPr>
        <w:t>L’organisation des activités</w:t>
      </w:r>
    </w:p>
    <w:p>
      <w:pPr>
        <w:pStyle w:val="NoSpacing"/>
        <w:spacing w:before="120" w:after="0"/>
        <w:rPr/>
      </w:pPr>
      <w:r>
        <w:rPr>
          <w:rFonts w:ascii="arial" w:hAnsi="arial"/>
          <w:color w:val="244061"/>
          <w:sz w:val="22"/>
          <w:szCs w:val="22"/>
        </w:rPr>
        <w:t>L’agent de Chlorophylle Ibrahim Alanga est en charge de la mise en œuvre et du suivi des activités de salubrité. Outre les moyens administratifs dont il dispose, il peut également mobiliser des moyens humains selon les activités, tâcherons et manœuvres pour la construction, Femmes relais pour la sensibilisation, jardiniers pour la pépinière, etc., mais aussi l’agent de l’assainissement en poste au Centre de Santé (CSI) à In Gall qui valide techniquement les infrastructures hydrauliques.</w:t>
      </w:r>
    </w:p>
    <w:p>
      <w:pPr>
        <w:pStyle w:val="NoSpacing"/>
        <w:spacing w:before="120" w:after="0"/>
        <w:rPr/>
      </w:pPr>
      <w:r>
        <w:rPr>
          <w:rFonts w:ascii="arial" w:hAnsi="arial"/>
          <w:color w:val="244061"/>
          <w:sz w:val="22"/>
          <w:szCs w:val="22"/>
        </w:rPr>
        <w:t>Pour les autres ouvrages hydrauliques (rue pavées, latrines, etc.), c’est le comité de salubrité qui décide des emplacements, du nombre, et l’Agent de Chlorophylle qui met en œuvre les activités en partenariats avec les autorités et partenaires.</w:t>
      </w:r>
    </w:p>
    <w:p>
      <w:pPr>
        <w:pStyle w:val="NoSpacing"/>
        <w:spacing w:before="120" w:after="0"/>
        <w:rPr>
          <w:rFonts w:ascii="Calibri" w:hAnsi="Calibri"/>
          <w:color w:val="244061"/>
          <w:sz w:val="22"/>
          <w:szCs w:val="22"/>
        </w:rPr>
      </w:pPr>
      <w:r>
        <w:rPr>
          <w:rFonts w:ascii="arial" w:hAnsi="arial"/>
          <w:color w:val="244061"/>
          <w:sz w:val="22"/>
          <w:szCs w:val="22"/>
        </w:rPr>
        <w:t>Pour la sensibilisation, les femmes Relais sont formées auprès du centre de Santé et notamment l’agent de l’assainissement et l'assistante sociale.</w:t>
      </w:r>
    </w:p>
    <w:p>
      <w:pPr>
        <w:pStyle w:val="Normal1"/>
        <w:spacing w:before="120" w:after="0"/>
        <w:rPr/>
      </w:pPr>
      <w:r>
        <w:rPr>
          <w:rFonts w:ascii="arial" w:hAnsi="arial"/>
          <w:color w:val="244061"/>
          <w:sz w:val="22"/>
          <w:szCs w:val="22"/>
        </w:rPr>
        <w:t>Le calendrier de mise en œuvre est découpé en programmation (période de 6 mois) à la fin de laquelle le comité de salubrité se réunit, valide les activités passées et prépare les activités de la prochaine programmation.</w:t>
      </w:r>
    </w:p>
    <w:p>
      <w:pPr>
        <w:pStyle w:val="Normal1"/>
        <w:spacing w:before="120" w:after="0"/>
        <w:rPr/>
      </w:pPr>
      <w:r>
        <w:rPr>
          <w:rFonts w:ascii="Arial" w:hAnsi="Arial"/>
          <w:color w:val="244061"/>
          <w:sz w:val="22"/>
          <w:szCs w:val="22"/>
        </w:rPr>
        <w:t>Ibrahim Alanga a été équipé d’un nouvel ordinateur portable acheté sur place.</w:t>
      </w:r>
    </w:p>
    <w:p>
      <w:pPr>
        <w:pStyle w:val="Normal1"/>
        <w:spacing w:before="120" w:after="0"/>
        <w:rPr/>
      </w:pPr>
      <w:r>
        <w:rPr>
          <w:rFonts w:ascii="Arial" w:hAnsi="Arial"/>
          <w:color w:val="244061"/>
          <w:sz w:val="22"/>
          <w:szCs w:val="22"/>
        </w:rPr>
        <w:t>Une plaque en métal au couleur du projet avec l’ensemble des partenaires a été réalisée et placée à l’entrée de la ville.</w:t>
      </w:r>
    </w:p>
    <w:p>
      <w:pPr>
        <w:pStyle w:val="Normal1"/>
        <w:spacing w:before="120" w:after="0"/>
        <w:rPr/>
      </w:pPr>
      <w:r>
        <w:rPr>
          <w:rFonts w:ascii="Arial" w:hAnsi="Arial"/>
          <w:color w:val="C5000B"/>
          <w:sz w:val="22"/>
          <w:szCs w:val="22"/>
        </w:rPr>
        <w:t>Nous disposons également de 6 rapports mensuels, mais compte-tenu des éléments inscrits dans ces rapports, notamment sur les personnalités ainsi que la sécurité au nord Niger, nous ne les diffuserons que sous réserve de besoin express et de non divulgation externe.</w:t>
      </w:r>
    </w:p>
    <w:p>
      <w:pPr>
        <w:pStyle w:val="Titre1"/>
        <w:spacing w:before="120" w:after="0"/>
        <w:rPr>
          <w:rFonts w:ascii="Arial" w:hAnsi="Arial"/>
        </w:rPr>
      </w:pPr>
      <w:r>
        <w:rPr>
          <w:rFonts w:ascii="Aial" w:hAnsi="Aial"/>
          <w:color w:val="003366"/>
          <w:sz w:val="22"/>
          <w:szCs w:val="22"/>
        </w:rPr>
        <w:t>Les activités</w:t>
      </w:r>
    </w:p>
    <w:p>
      <w:pPr>
        <w:pStyle w:val="Normal1"/>
        <w:spacing w:before="120" w:after="0"/>
        <w:rPr/>
      </w:pPr>
      <w:r>
        <w:rPr>
          <w:rFonts w:ascii="Aial" w:hAnsi="Aial"/>
          <w:color w:val="003366"/>
          <w:sz w:val="22"/>
          <w:szCs w:val="22"/>
        </w:rPr>
        <w:t xml:space="preserve">La mairie rencontre un problème interne très sérieux depuis janvier. Cette situation est née depuis que certains conseillers étaient en désaccord avec le maire issu de leur rang. Une inspection est ordonnée depuis la présidence au niveau de plusieurs communes dont Ingall. Après l’inspection, le maire, son adjoint et le receveur municipal sont convoqué à Niamey. La mairie se trouve ainsi bloqué. </w:t>
      </w:r>
    </w:p>
    <w:p>
      <w:pPr>
        <w:pStyle w:val="Normal1"/>
        <w:spacing w:before="120" w:after="0"/>
        <w:rPr/>
      </w:pPr>
      <w:r>
        <w:rPr>
          <w:rFonts w:ascii="Aial" w:hAnsi="Aial"/>
          <w:color w:val="003366"/>
          <w:sz w:val="22"/>
          <w:szCs w:val="22"/>
        </w:rPr>
        <w:t>Ainsi aucun comité de salubrité n’a pu se tenir, pire même puisque le Maire a fini par être révoqué en juin 2017.</w:t>
      </w:r>
    </w:p>
    <w:p>
      <w:pPr>
        <w:pStyle w:val="Normal1"/>
        <w:spacing w:before="120" w:after="0"/>
        <w:rPr>
          <w:rFonts w:ascii="Aial" w:hAnsi="Aial"/>
          <w:color w:val="003366"/>
          <w:sz w:val="22"/>
          <w:szCs w:val="22"/>
        </w:rPr>
      </w:pPr>
      <w:r>
        <w:rPr>
          <w:rFonts w:ascii="Aial" w:hAnsi="Aial"/>
          <w:b/>
          <w:bCs/>
          <w:color w:val="003366"/>
          <w:sz w:val="22"/>
          <w:szCs w:val="22"/>
        </w:rPr>
        <w:t>- le renforcement des capacités des acteurs</w:t>
      </w:r>
    </w:p>
    <w:p>
      <w:pPr>
        <w:pStyle w:val="Normal1"/>
        <w:spacing w:before="120" w:after="0"/>
        <w:rPr>
          <w:rFonts w:ascii="Aial" w:hAnsi="Aial"/>
          <w:color w:val="003366"/>
          <w:sz w:val="22"/>
          <w:szCs w:val="22"/>
        </w:rPr>
      </w:pPr>
      <w:r>
        <w:rPr>
          <w:rFonts w:ascii="Aial" w:hAnsi="Aial"/>
          <w:color w:val="003366"/>
          <w:sz w:val="22"/>
          <w:szCs w:val="22"/>
        </w:rPr>
        <w:t>Différentes rencontres ont été faites au lancement de cette phase en janvier 2017, le directeur de l’école Medersa, assistante sociale et le responsable du Centre de santé, le directeur de l’école traditionnel, l’agent communal de l’environnement. Ceci en vue de faire un point sur les infrastructures de salubrité dans les divers établissement  et de programmer les équipements nécessaires.</w:t>
      </w:r>
    </w:p>
    <w:p>
      <w:pPr>
        <w:pStyle w:val="Normal1"/>
        <w:spacing w:before="120" w:after="0"/>
        <w:rPr>
          <w:rFonts w:ascii="Aial" w:hAnsi="Aial"/>
          <w:color w:val="003366"/>
          <w:sz w:val="22"/>
          <w:szCs w:val="22"/>
        </w:rPr>
      </w:pPr>
      <w:r>
        <w:rPr>
          <w:rFonts w:ascii="Aial" w:hAnsi="Aial"/>
          <w:color w:val="003366"/>
          <w:sz w:val="22"/>
          <w:szCs w:val="22"/>
        </w:rPr>
        <w:t>En février un rencontre avec le Maire a permis de faire le point sur les activités. En mars rencontre avec le SG de la Préfecture, pour faire le point sur les activités.</w:t>
      </w:r>
    </w:p>
    <w:p>
      <w:pPr>
        <w:pStyle w:val="Normal1"/>
        <w:spacing w:before="120" w:after="0"/>
        <w:rPr/>
      </w:pPr>
      <w:r>
        <w:rPr>
          <w:rFonts w:ascii="Aial" w:hAnsi="Aial"/>
          <w:color w:val="003366"/>
          <w:sz w:val="22"/>
          <w:szCs w:val="22"/>
        </w:rPr>
        <w:t>Deux formations sont programmées, une en informatique pour notre agent et une sur la santé pour les femmes Relais</w:t>
      </w:r>
    </w:p>
    <w:p>
      <w:pPr>
        <w:pStyle w:val="Normal1"/>
        <w:spacing w:before="120" w:after="0"/>
        <w:rPr>
          <w:rFonts w:ascii="Arial" w:hAnsi="Arial"/>
        </w:rPr>
      </w:pPr>
      <w:r>
        <w:rPr>
          <w:rFonts w:ascii="Aial" w:hAnsi="Aial"/>
          <w:b/>
          <w:bCs/>
          <w:color w:val="003366"/>
          <w:sz w:val="22"/>
          <w:szCs w:val="22"/>
        </w:rPr>
        <w:t>- Les fosses septiques et Latrines publiques</w:t>
      </w:r>
    </w:p>
    <w:p>
      <w:pPr>
        <w:pStyle w:val="Normal1"/>
        <w:spacing w:before="120" w:after="0"/>
        <w:rPr/>
      </w:pPr>
      <w:r>
        <w:rPr>
          <w:rFonts w:ascii="Aial" w:hAnsi="Aial"/>
          <w:color w:val="003366"/>
          <w:sz w:val="22"/>
          <w:szCs w:val="22"/>
        </w:rPr>
        <w:t>30 fosses septiques ont été réalisées. Néanmoins la demande est forte et comme l’organisation de cette activité ne pose aucun problème elle sera poursuivie. La construction de ces fosses est désormais assurée par les mêmes maçons utilisés dans les précédentes phases à travers un jeune entrepreneur de la place. L’agent de chlorophylle suit tout le long de la journée le déroulement des activités sur le terrain afin de faire respecter les normes exigées. Quant à l’agent d’hygiène et assainissement de la mairie, elle fait de temps en temps le tour des sentiers avant et pendant les activités. Ce qui lui permet de rendre compte à la mairie avant les réunions du comité de salubrité. Elle rencontre aussi l’agent de chlorophylle pour confronté les idées après les sorties sur le terrain. Jusque là la collaboration agent d’hygiène et assainissement, l’agent de chlorophylle et les maçons ne souffre d’aucune ambiguïtés.</w:t>
      </w:r>
    </w:p>
    <w:p>
      <w:pPr>
        <w:pStyle w:val="Normal1"/>
        <w:tabs>
          <w:tab w:val="right" w:pos="10064" w:leader="none"/>
        </w:tabs>
        <w:spacing w:before="120" w:after="0"/>
        <w:rPr/>
      </w:pPr>
      <w:r>
        <w:rPr>
          <w:rFonts w:ascii="Aial" w:hAnsi="Aial"/>
          <w:color w:val="003366"/>
          <w:sz w:val="22"/>
          <w:szCs w:val="22"/>
        </w:rPr>
        <w:t>L’agent de l’assainissement du centre de santé a rendu sont rapport ci-dessous.</w:t>
      </w:r>
    </w:p>
    <w:p>
      <w:pPr>
        <w:pStyle w:val="Normal1"/>
        <w:tabs>
          <w:tab w:val="right" w:pos="10064" w:leader="none"/>
        </w:tabs>
        <w:spacing w:before="120" w:after="0"/>
        <w:rPr/>
      </w:pPr>
      <w:r>
        <w:rPr/>
      </w:r>
    </w:p>
    <w:p>
      <w:pPr>
        <w:sectPr>
          <w:footerReference w:type="default" r:id="rId5"/>
          <w:type w:val="nextPage"/>
          <w:pgSz w:w="11906" w:h="16838"/>
          <w:pgMar w:left="993" w:right="849" w:header="0" w:top="851" w:footer="132" w:bottom="709" w:gutter="0"/>
          <w:pgNumType w:fmt="decimal"/>
          <w:formProt w:val="false"/>
          <w:textDirection w:val="lrTb"/>
          <w:docGrid w:type="default" w:linePitch="240" w:charSpace="4294961151"/>
        </w:sectPr>
      </w:pPr>
    </w:p>
    <w:p>
      <w:pPr>
        <w:pStyle w:val="Normal1"/>
        <w:spacing w:before="0" w:after="0"/>
        <w:jc w:val="both"/>
        <w:rPr>
          <w:rFonts w:ascii="DejaVu Sans" w:hAnsi="DejaVu Sans"/>
          <w:color w:val="003366"/>
          <w:sz w:val="22"/>
          <w:szCs w:val="22"/>
        </w:rPr>
      </w:pPr>
      <w:r>
        <w:rPr>
          <w:rFonts w:ascii="DejaVu Sans" w:hAnsi="DejaVu Sans"/>
          <w:color w:val="003366"/>
          <w:sz w:val="22"/>
          <w:szCs w:val="22"/>
        </w:rPr>
        <w:t>Liste des bénéficiaires</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 xml:space="preserve">Ahmed Amadan </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Malam Iddar</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Ibrahim maouli</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Acha  Aboulha</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Albachir Wazawagé</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Infi Islo</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Malam Guimbia</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Addou Acha</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Kassim Zodi</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Nabi Akéfi</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Addou Madaya</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Ibrahim Abdoul</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Mohamed Dilla</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Ghaicitou Ilattou</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Amanno bragaza</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Acka Nabi</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Souré Ramou</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Bachar Housseini</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Ayaya ousmane</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Kassim Alamine</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Hadjara harouna</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Touma akamoti</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Digé gaha</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Mariama Indaké</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Malam Mamma</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Ibrahim Boubé</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Zara sidi</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Alkassoum Boussa</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Lalla Egour</w:t>
      </w:r>
    </w:p>
    <w:p>
      <w:pPr>
        <w:pStyle w:val="Normal1"/>
        <w:numPr>
          <w:ilvl w:val="0"/>
          <w:numId w:val="1"/>
        </w:numPr>
        <w:spacing w:before="0" w:after="0"/>
        <w:jc w:val="both"/>
        <w:rPr>
          <w:rFonts w:ascii="DejaVu Sans" w:hAnsi="DejaVu Sans"/>
          <w:color w:val="003366"/>
          <w:sz w:val="18"/>
          <w:szCs w:val="18"/>
        </w:rPr>
      </w:pPr>
      <w:r>
        <w:rPr>
          <w:rFonts w:ascii="DejaVu Sans" w:hAnsi="DejaVu Sans"/>
          <w:color w:val="003366"/>
          <w:sz w:val="18"/>
          <w:szCs w:val="18"/>
        </w:rPr>
        <w:t>Zaidine Ahmé</w:t>
      </w:r>
    </w:p>
    <w:p>
      <w:pPr>
        <w:sectPr>
          <w:type w:val="continuous"/>
          <w:pgSz w:w="11906" w:h="16838"/>
          <w:pgMar w:left="993" w:right="849" w:header="0" w:top="851" w:footer="132" w:bottom="709" w:gutter="0"/>
          <w:cols w:num="3" w:space="0" w:equalWidth="true" w:sep="false"/>
          <w:formProt w:val="false"/>
          <w:textDirection w:val="lrTb"/>
          <w:docGrid w:type="default" w:linePitch="240" w:charSpace="4294961151"/>
        </w:sectPr>
      </w:pPr>
    </w:p>
    <w:p>
      <w:pPr>
        <w:pStyle w:val="Normal1"/>
        <w:tabs>
          <w:tab w:val="right" w:pos="10064" w:leader="none"/>
        </w:tabs>
        <w:spacing w:before="0" w:after="0"/>
        <w:rPr>
          <w:rFonts w:ascii="Aial" w:hAnsi="Aial"/>
          <w:color w:val="003366"/>
          <w:sz w:val="22"/>
          <w:szCs w:val="22"/>
        </w:rPr>
      </w:pPr>
      <w:r>
        <w:rPr>
          <w:rFonts w:ascii="DejaVu Sans" w:hAnsi="DejaVu Sans"/>
          <w:b/>
          <w:bCs/>
          <w:color w:val="003366"/>
          <w:sz w:val="18"/>
          <w:szCs w:val="18"/>
        </w:rPr>
      </w:r>
    </w:p>
    <w:p>
      <w:pPr>
        <w:pStyle w:val="Normal1"/>
        <w:spacing w:before="120" w:after="0"/>
        <w:rPr/>
      </w:pPr>
      <w:r>
        <w:rPr>
          <w:rFonts w:ascii="Aial" w:hAnsi="Aial"/>
          <w:b/>
          <w:bCs/>
          <w:color w:val="003366"/>
          <w:sz w:val="22"/>
          <w:szCs w:val="22"/>
        </w:rPr>
        <w:t>- Adduction d’eau</w:t>
      </w:r>
    </w:p>
    <w:p>
      <w:pPr>
        <w:pStyle w:val="NoSpacing"/>
        <w:spacing w:before="120" w:after="0"/>
        <w:rPr/>
      </w:pPr>
      <w:r>
        <w:rPr>
          <w:rFonts w:ascii="Aial" w:hAnsi="Aial"/>
          <w:color w:val="003366"/>
          <w:sz w:val="22"/>
          <w:szCs w:val="22"/>
        </w:rPr>
        <w:t>Une petite adduction d’eau a été réalisée au centre de santé d’Ingall, pour sécuriser le robinet à l’intérieur des bâtiments.</w:t>
      </w:r>
    </w:p>
    <w:p>
      <w:pPr>
        <w:pStyle w:val="NoSpacing"/>
        <w:spacing w:before="120" w:after="0"/>
        <w:jc w:val="both"/>
        <w:rPr/>
      </w:pPr>
      <w:r>
        <w:rPr>
          <w:rFonts w:ascii="Aial" w:hAnsi="Aial"/>
          <w:color w:val="003366"/>
          <w:sz w:val="22"/>
          <w:szCs w:val="22"/>
        </w:rPr>
        <w:t xml:space="preserve">Une petite adduction d’eau a été réalisée au centre de santé d’Ingall, pendant la phase précédente afin de sécuriser les robinets dans la salle de tri et la maternité. Pour cette phase, l’adduction a été menée à partir du compteur qui se trouve à environs 40 mètres de la nouvelle construction de la maternité. Elle répond à 2 soucis majeurs : placer un robinet près de la maternité pour lavage des mains au savon initié depuis plusieurs années et pour l’utilisation des patients de ce bâtiment. Le lavage des mains au savon est initié afin de sensibiliser les gens surtout les femmes à laver d’une façon hygiénique les mains après les selles, après avoir assisté une femme lors de l’accouchement et aussi inculquer cela dans les familles avant les repas. </w:t>
      </w:r>
    </w:p>
    <w:p>
      <w:pPr>
        <w:pStyle w:val="Normal1"/>
        <w:spacing w:before="120" w:after="0"/>
        <w:rPr/>
      </w:pPr>
      <w:r>
        <w:rPr>
          <w:rFonts w:ascii="Aial" w:hAnsi="Aial"/>
          <w:b/>
          <w:bCs/>
          <w:color w:val="003366"/>
          <w:sz w:val="22"/>
          <w:szCs w:val="22"/>
        </w:rPr>
        <w:t>- Rue Pavée</w:t>
      </w:r>
    </w:p>
    <w:p>
      <w:pPr>
        <w:pStyle w:val="Normal1"/>
        <w:spacing w:before="120" w:after="0"/>
        <w:rPr/>
      </w:pPr>
      <w:r>
        <w:rPr>
          <w:rFonts w:ascii="Aial" w:hAnsi="Aial"/>
          <w:color w:val="003366"/>
          <w:sz w:val="22"/>
          <w:szCs w:val="22"/>
        </w:rPr>
        <w:t>Le recensement des rues à paver en priorité pour la 2ème programmation est en cours. Pas de construction pendant la saison pluvieuse (juillet-août).</w:t>
      </w:r>
    </w:p>
    <w:p>
      <w:pPr>
        <w:pStyle w:val="Normal1"/>
        <w:spacing w:before="120" w:after="0"/>
        <w:rPr/>
      </w:pPr>
      <w:r>
        <w:rPr>
          <w:rFonts w:ascii="Aial" w:hAnsi="Aial"/>
          <w:b/>
          <w:bCs/>
          <w:color w:val="003366"/>
          <w:sz w:val="22"/>
          <w:szCs w:val="22"/>
        </w:rPr>
        <w:t>- Pompes à motricité humaine</w:t>
      </w:r>
    </w:p>
    <w:p>
      <w:pPr>
        <w:pStyle w:val="Normal1"/>
        <w:spacing w:before="120" w:after="0"/>
        <w:jc w:val="both"/>
        <w:rPr/>
      </w:pPr>
      <w:r>
        <w:rPr>
          <w:rFonts w:ascii="Aial" w:hAnsi="Aial"/>
          <w:color w:val="003366"/>
          <w:sz w:val="22"/>
          <w:szCs w:val="22"/>
        </w:rPr>
        <w:t>Un devis pour la réparation de la pompe à motricité humaine a été réalisé pour un coût de 1 171 731 Fcfa et une pose de cette pompe pour un coût 585 000 Fcfa.  Néanmoins il est nécessaire de foncer un nouveau puits près du village de Tirgit pour la réinstaller. Le coût du puits sera de 1 551 900 Fcfa. Le fonçage de ce puits est important car, poser cette pompe sur un puits privé veut dire de confier la responsabilité à cette personne et en faire sa propriété. Ainsi la propriété en sera confiée à la Mairie.</w:t>
      </w:r>
    </w:p>
    <w:p>
      <w:pPr>
        <w:pStyle w:val="Normal1"/>
        <w:spacing w:before="120" w:after="0"/>
        <w:rPr/>
      </w:pPr>
      <w:r>
        <w:drawing>
          <wp:anchor behindDoc="0" distT="0" distB="0" distL="0" distR="0" simplePos="0" locked="0" layoutInCell="1" allowOverlap="1" relativeHeight="7">
            <wp:simplePos x="0" y="0"/>
            <wp:positionH relativeFrom="column">
              <wp:posOffset>3284855</wp:posOffset>
            </wp:positionH>
            <wp:positionV relativeFrom="paragraph">
              <wp:posOffset>236855</wp:posOffset>
            </wp:positionV>
            <wp:extent cx="3223260" cy="4191635"/>
            <wp:effectExtent l="0" t="0" r="0" b="0"/>
            <wp:wrapSquare wrapText="largest"/>
            <wp:docPr id="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 descr=""/>
                    <pic:cNvPicPr>
                      <a:picLocks noChangeAspect="1" noChangeArrowheads="1"/>
                    </pic:cNvPicPr>
                  </pic:nvPicPr>
                  <pic:blipFill>
                    <a:blip r:embed="rId6"/>
                    <a:stretch>
                      <a:fillRect/>
                    </a:stretch>
                  </pic:blipFill>
                  <pic:spPr bwMode="auto">
                    <a:xfrm>
                      <a:off x="0" y="0"/>
                      <a:ext cx="3223260" cy="4191635"/>
                    </a:xfrm>
                    <a:prstGeom prst="rect">
                      <a:avLst/>
                    </a:prstGeom>
                  </pic:spPr>
                </pic:pic>
              </a:graphicData>
            </a:graphic>
          </wp:anchor>
        </w:drawing>
      </w:r>
      <w:r>
        <w:rPr>
          <w:rFonts w:ascii="Aial" w:hAnsi="Aial"/>
          <w:color w:val="003366"/>
          <w:sz w:val="22"/>
          <w:szCs w:val="22"/>
        </w:rPr>
        <w:t xml:space="preserve"> </w:t>
      </w:r>
    </w:p>
    <w:p>
      <w:pPr>
        <w:pStyle w:val="Normal1"/>
        <w:spacing w:before="120" w:after="0"/>
        <w:rPr>
          <w:rFonts w:ascii="Aial" w:hAnsi="Aial"/>
          <w:color w:val="003366"/>
          <w:sz w:val="22"/>
          <w:szCs w:val="22"/>
        </w:rPr>
      </w:pPr>
      <w:r>
        <w:rPr>
          <w:rFonts w:ascii="Aial" w:hAnsi="Aial"/>
          <w:color w:val="003366"/>
          <w:sz w:val="22"/>
          <w:szCs w:val="22"/>
        </w:rPr>
        <w:drawing>
          <wp:anchor behindDoc="0" distT="0" distB="0" distL="0" distR="0" simplePos="0" locked="0" layoutInCell="1" allowOverlap="1" relativeHeight="6">
            <wp:simplePos x="0" y="0"/>
            <wp:positionH relativeFrom="column">
              <wp:posOffset>212090</wp:posOffset>
            </wp:positionH>
            <wp:positionV relativeFrom="paragraph">
              <wp:posOffset>5715</wp:posOffset>
            </wp:positionV>
            <wp:extent cx="2759710" cy="3956685"/>
            <wp:effectExtent l="0" t="0" r="0" b="0"/>
            <wp:wrapSquare wrapText="largest"/>
            <wp:docPr id="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descr=""/>
                    <pic:cNvPicPr>
                      <a:picLocks noChangeAspect="1" noChangeArrowheads="1"/>
                    </pic:cNvPicPr>
                  </pic:nvPicPr>
                  <pic:blipFill>
                    <a:blip r:embed="rId7"/>
                    <a:stretch>
                      <a:fillRect/>
                    </a:stretch>
                  </pic:blipFill>
                  <pic:spPr bwMode="auto">
                    <a:xfrm>
                      <a:off x="0" y="0"/>
                      <a:ext cx="2759710" cy="3956685"/>
                    </a:xfrm>
                    <a:prstGeom prst="rect">
                      <a:avLst/>
                    </a:prstGeom>
                  </pic:spPr>
                </pic:pic>
              </a:graphicData>
            </a:graphic>
          </wp:anchor>
        </w:drawing>
      </w:r>
    </w:p>
    <w:p>
      <w:pPr>
        <w:pStyle w:val="Normal1"/>
        <w:spacing w:before="120" w:after="0"/>
        <w:rPr>
          <w:rFonts w:ascii="Aial" w:hAnsi="Aial"/>
          <w:color w:val="003366"/>
          <w:sz w:val="22"/>
          <w:szCs w:val="22"/>
        </w:rPr>
      </w:pPr>
      <w:r>
        <w:rPr>
          <w:rFonts w:ascii="Aial" w:hAnsi="Aial"/>
          <w:color w:val="003366"/>
          <w:sz w:val="22"/>
          <w:szCs w:val="22"/>
        </w:rPr>
      </w:r>
    </w:p>
    <w:p>
      <w:pPr>
        <w:pStyle w:val="Normal1"/>
        <w:spacing w:before="120" w:after="0"/>
        <w:rPr>
          <w:rFonts w:ascii="Aial" w:hAnsi="Aial"/>
          <w:color w:val="003366"/>
          <w:sz w:val="22"/>
          <w:szCs w:val="22"/>
        </w:rPr>
      </w:pPr>
      <w:r>
        <w:rPr>
          <w:rFonts w:ascii="Aial" w:hAnsi="Aial"/>
          <w:color w:val="003366"/>
          <w:sz w:val="22"/>
          <w:szCs w:val="22"/>
        </w:rPr>
      </w:r>
    </w:p>
    <w:p>
      <w:pPr>
        <w:pStyle w:val="Normal1"/>
        <w:spacing w:before="120" w:after="0"/>
        <w:rPr>
          <w:rFonts w:ascii="Aial" w:hAnsi="Aial"/>
          <w:color w:val="003366"/>
          <w:sz w:val="22"/>
          <w:szCs w:val="22"/>
        </w:rPr>
      </w:pPr>
      <w:r>
        <w:rPr>
          <w:rFonts w:ascii="Aial" w:hAnsi="Aial"/>
          <w:color w:val="003366"/>
          <w:sz w:val="22"/>
          <w:szCs w:val="22"/>
        </w:rPr>
      </w:r>
    </w:p>
    <w:p>
      <w:pPr>
        <w:pStyle w:val="Normal1"/>
        <w:spacing w:before="120" w:after="0"/>
        <w:rPr>
          <w:rFonts w:ascii="Aial" w:hAnsi="Aial"/>
          <w:color w:val="003366"/>
          <w:sz w:val="22"/>
          <w:szCs w:val="22"/>
        </w:rPr>
      </w:pPr>
      <w:r>
        <w:rPr>
          <w:rFonts w:ascii="Aial" w:hAnsi="Aial"/>
          <w:color w:val="003366"/>
          <w:sz w:val="22"/>
          <w:szCs w:val="22"/>
        </w:rPr>
      </w:r>
    </w:p>
    <w:p>
      <w:pPr>
        <w:pStyle w:val="Normal1"/>
        <w:spacing w:before="120" w:after="0"/>
        <w:rPr>
          <w:rFonts w:ascii="Aial" w:hAnsi="Aial"/>
          <w:color w:val="003366"/>
          <w:sz w:val="22"/>
          <w:szCs w:val="22"/>
        </w:rPr>
      </w:pPr>
      <w:r>
        <w:rPr>
          <w:rFonts w:ascii="Aial" w:hAnsi="Aial"/>
          <w:color w:val="003366"/>
          <w:sz w:val="22"/>
          <w:szCs w:val="22"/>
        </w:rPr>
      </w:r>
    </w:p>
    <w:p>
      <w:pPr>
        <w:pStyle w:val="Normal1"/>
        <w:spacing w:before="120" w:after="0"/>
        <w:rPr>
          <w:rFonts w:ascii="Aial" w:hAnsi="Aial"/>
          <w:color w:val="003366"/>
          <w:sz w:val="22"/>
          <w:szCs w:val="22"/>
        </w:rPr>
      </w:pPr>
      <w:r>
        <w:rPr>
          <w:rFonts w:ascii="Aial" w:hAnsi="Aial"/>
          <w:color w:val="003366"/>
          <w:sz w:val="22"/>
          <w:szCs w:val="22"/>
        </w:rPr>
      </w:r>
    </w:p>
    <w:p>
      <w:pPr>
        <w:pStyle w:val="Normal1"/>
        <w:spacing w:before="120" w:after="0"/>
        <w:rPr>
          <w:rFonts w:ascii="Aial" w:hAnsi="Aial"/>
          <w:color w:val="003366"/>
          <w:sz w:val="22"/>
          <w:szCs w:val="22"/>
        </w:rPr>
      </w:pPr>
      <w:r>
        <w:rPr>
          <w:rFonts w:ascii="Aial" w:hAnsi="Aial"/>
          <w:color w:val="003366"/>
          <w:sz w:val="22"/>
          <w:szCs w:val="22"/>
        </w:rPr>
      </w:r>
    </w:p>
    <w:p>
      <w:pPr>
        <w:pStyle w:val="Normal1"/>
        <w:spacing w:before="120" w:after="0"/>
        <w:rPr>
          <w:rFonts w:ascii="Aial" w:hAnsi="Aial"/>
          <w:color w:val="003366"/>
          <w:sz w:val="22"/>
          <w:szCs w:val="22"/>
        </w:rPr>
      </w:pPr>
      <w:r>
        <w:rPr>
          <w:rFonts w:ascii="Aial" w:hAnsi="Aial"/>
          <w:color w:val="003366"/>
          <w:sz w:val="22"/>
          <w:szCs w:val="22"/>
        </w:rPr>
      </w:r>
    </w:p>
    <w:p>
      <w:pPr>
        <w:pStyle w:val="Normal1"/>
        <w:spacing w:before="120" w:after="0"/>
        <w:rPr>
          <w:rFonts w:ascii="Aial" w:hAnsi="Aial"/>
          <w:color w:val="003366"/>
          <w:sz w:val="22"/>
          <w:szCs w:val="22"/>
        </w:rPr>
      </w:pPr>
      <w:r>
        <w:rPr>
          <w:rFonts w:ascii="Aial" w:hAnsi="Aial"/>
          <w:color w:val="003366"/>
          <w:sz w:val="22"/>
          <w:szCs w:val="22"/>
        </w:rPr>
      </w:r>
    </w:p>
    <w:p>
      <w:pPr>
        <w:pStyle w:val="Normal1"/>
        <w:spacing w:before="120" w:after="0"/>
        <w:rPr>
          <w:b/>
          <w:b/>
          <w:bCs/>
        </w:rPr>
      </w:pPr>
      <w:r>
        <w:rPr>
          <w:b/>
          <w:bCs/>
        </w:rPr>
      </w:r>
    </w:p>
    <w:p>
      <w:pPr>
        <w:pStyle w:val="Normal1"/>
        <w:spacing w:before="120" w:after="0"/>
        <w:rPr>
          <w:b/>
          <w:b/>
          <w:bCs/>
        </w:rPr>
      </w:pPr>
      <w:r>
        <w:rPr>
          <w:b/>
          <w:bCs/>
        </w:rPr>
      </w:r>
    </w:p>
    <w:p>
      <w:pPr>
        <w:pStyle w:val="Normal1"/>
        <w:spacing w:before="120" w:after="0"/>
        <w:rPr>
          <w:b/>
          <w:b/>
          <w:bCs/>
        </w:rPr>
      </w:pPr>
      <w:r>
        <w:rPr>
          <w:b/>
          <w:bCs/>
        </w:rPr>
      </w:r>
    </w:p>
    <w:p>
      <w:pPr>
        <w:pStyle w:val="Normal1"/>
        <w:spacing w:before="120" w:after="0"/>
        <w:rPr>
          <w:b/>
          <w:b/>
          <w:bCs/>
        </w:rPr>
      </w:pPr>
      <w:r>
        <w:rPr>
          <w:b/>
          <w:bCs/>
        </w:rPr>
      </w:r>
    </w:p>
    <w:p>
      <w:pPr>
        <w:pStyle w:val="Normal1"/>
        <w:spacing w:before="120" w:after="0"/>
        <w:rPr>
          <w:b/>
          <w:b/>
          <w:bCs/>
        </w:rPr>
      </w:pPr>
      <w:r>
        <w:rPr>
          <w:b/>
          <w:bCs/>
        </w:rPr>
      </w:r>
    </w:p>
    <w:p>
      <w:pPr>
        <w:pStyle w:val="Normal1"/>
        <w:spacing w:before="120" w:after="0"/>
        <w:rPr>
          <w:b/>
          <w:b/>
          <w:bCs/>
        </w:rPr>
      </w:pPr>
      <w:r>
        <w:rPr>
          <w:b/>
          <w:bCs/>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pPr>
      <w:r>
        <w:rPr>
          <w:rFonts w:ascii="Aial" w:hAnsi="Aial"/>
          <w:b/>
          <w:bCs/>
          <w:color w:val="003366"/>
          <w:sz w:val="22"/>
          <w:szCs w:val="22"/>
        </w:rPr>
        <w:t>- Comblement des mares</w:t>
      </w:r>
    </w:p>
    <w:p>
      <w:pPr>
        <w:pStyle w:val="Normal1"/>
        <w:spacing w:before="120" w:after="0"/>
        <w:rPr/>
      </w:pPr>
      <w:r>
        <w:rPr>
          <w:rFonts w:ascii="Aial" w:hAnsi="Aial"/>
          <w:color w:val="003366"/>
          <w:sz w:val="22"/>
          <w:szCs w:val="22"/>
        </w:rPr>
        <w:t>L’étude sur le comblement des mares va débuter en 2017 selon le cahier des charges prévu. Rappelons que les résultats de l’étude permettront de trouver d’autres financements pour le comblement des mares et la sécurisation du kori. Ce sera un prestataire de Niamey qui réalisera en direct avec Chlorophylle France, le budget ne passe donc pas par In Gall.</w:t>
      </w:r>
    </w:p>
    <w:p>
      <w:pPr>
        <w:pStyle w:val="Normal1"/>
        <w:spacing w:before="120" w:after="0"/>
        <w:rPr/>
      </w:pPr>
      <w:r>
        <w:rPr>
          <w:rFonts w:ascii="Aial" w:hAnsi="Aial"/>
          <w:color w:val="003366"/>
          <w:sz w:val="22"/>
          <w:szCs w:val="22"/>
        </w:rPr>
        <w:t>Le devis est en court de négociation et devrait s’établir autour de 4 000 000 Fcfa.</w:t>
      </w:r>
    </w:p>
    <w:p>
      <w:pPr>
        <w:pStyle w:val="Normal1"/>
        <w:spacing w:before="120" w:after="0"/>
        <w:rPr/>
      </w:pPr>
      <w:r>
        <w:rPr>
          <w:rFonts w:ascii="Aial" w:hAnsi="Aial"/>
          <w:b/>
          <w:bCs/>
          <w:color w:val="003366"/>
          <w:sz w:val="22"/>
          <w:szCs w:val="22"/>
        </w:rPr>
        <w:t>- La sensibilisation</w:t>
      </w:r>
    </w:p>
    <w:p>
      <w:pPr>
        <w:pStyle w:val="Normal1"/>
        <w:spacing w:before="120" w:after="0"/>
        <w:rPr/>
      </w:pPr>
      <w:r>
        <w:rPr>
          <w:rFonts w:ascii="Aial" w:hAnsi="Aial"/>
          <w:color w:val="003366"/>
          <w:sz w:val="22"/>
          <w:szCs w:val="22"/>
        </w:rPr>
        <w:t>après des séances de travail entre le groupe Relais des femmes et le Centre de santé les sensibilisation suivante ont été faites.</w:t>
      </w:r>
    </w:p>
    <w:tbl>
      <w:tblPr>
        <w:tblW w:w="10064" w:type="dxa"/>
        <w:jc w:val="left"/>
        <w:tblInd w:w="45" w:type="dxa"/>
        <w:tblBorders>
          <w:top w:val="single" w:sz="2" w:space="0" w:color="000001"/>
          <w:left w:val="single" w:sz="2" w:space="0" w:color="000001"/>
          <w:bottom w:val="single" w:sz="2" w:space="0" w:color="000001"/>
          <w:insideH w:val="single" w:sz="2" w:space="0" w:color="000001"/>
        </w:tblBorders>
        <w:tblCellMar>
          <w:top w:w="55" w:type="dxa"/>
          <w:left w:w="42" w:type="dxa"/>
          <w:bottom w:w="55" w:type="dxa"/>
          <w:right w:w="55" w:type="dxa"/>
        </w:tblCellMar>
      </w:tblPr>
      <w:tblGrid>
        <w:gridCol w:w="1677"/>
        <w:gridCol w:w="1677"/>
        <w:gridCol w:w="1292"/>
        <w:gridCol w:w="1028"/>
        <w:gridCol w:w="963"/>
        <w:gridCol w:w="3426"/>
      </w:tblGrid>
      <w:tr>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b/>
                <w:bCs/>
                <w:color w:val="003366"/>
                <w:sz w:val="18"/>
                <w:szCs w:val="18"/>
              </w:rPr>
              <w:t>date</w:t>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b/>
                <w:bCs/>
                <w:color w:val="003366"/>
                <w:sz w:val="18"/>
                <w:szCs w:val="18"/>
              </w:rPr>
              <w:t>quartier</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b/>
                <w:bCs/>
                <w:color w:val="003366"/>
                <w:sz w:val="18"/>
                <w:szCs w:val="18"/>
              </w:rPr>
              <w:t>nbr séance</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b/>
                <w:bCs/>
                <w:color w:val="003366"/>
                <w:sz w:val="18"/>
                <w:szCs w:val="18"/>
              </w:rPr>
              <w:t>hommes</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b/>
                <w:bCs/>
                <w:color w:val="003366"/>
                <w:sz w:val="18"/>
                <w:szCs w:val="18"/>
              </w:rPr>
              <w:t>femmes</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NoSpacing"/>
              <w:spacing w:lineRule="auto" w:line="240" w:before="0" w:after="0"/>
              <w:jc w:val="both"/>
              <w:rPr/>
            </w:pPr>
            <w:r>
              <w:rPr>
                <w:rFonts w:ascii="DejaVu Sans" w:hAnsi="DejaVu Sans"/>
                <w:b/>
                <w:bCs/>
                <w:color w:val="003366"/>
                <w:sz w:val="18"/>
                <w:szCs w:val="18"/>
              </w:rPr>
              <w:t>thème</w:t>
            </w:r>
          </w:p>
        </w:tc>
      </w:tr>
      <w:tr>
        <w:trPr>
          <w:trHeight w:val="6" w:hRule="atLeast"/>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05/03/17</w:t>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Sabon carrée</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11</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35</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Qu’est ce que l’anophèle</w:t>
            </w:r>
          </w:p>
        </w:tc>
      </w:tr>
      <w:tr>
        <w:trPr>
          <w:trHeight w:val="6" w:hRule="atLeast"/>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10/03/17</w:t>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Toudou faisseau</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6</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20</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Le mode de transmission du paludisme</w:t>
            </w:r>
          </w:p>
        </w:tc>
      </w:tr>
      <w:tr>
        <w:trPr>
          <w:trHeight w:val="6" w:hRule="atLeast"/>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15/031/17</w:t>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alkoubla</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11</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28</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Qu’est ce que l’anophèle</w:t>
            </w:r>
          </w:p>
        </w:tc>
      </w:tr>
      <w:tr>
        <w:trPr>
          <w:trHeight w:val="6" w:hRule="atLeast"/>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20/03/17</w:t>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maternité</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10</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10</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Prévention du paludisme</w:t>
            </w:r>
          </w:p>
        </w:tc>
      </w:tr>
      <w:tr>
        <w:trPr>
          <w:trHeight w:val="6" w:hRule="atLeast"/>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25/03/17</w:t>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P.M.I</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13</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13</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Utilisation correcte du M.D.A</w:t>
            </w:r>
          </w:p>
        </w:tc>
      </w:tr>
      <w:tr>
        <w:trPr>
          <w:trHeight w:val="6" w:hRule="atLeast"/>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5/4/17</w:t>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Alkoubla 1</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10</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47</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Lavage des mains au savon</w:t>
            </w:r>
          </w:p>
        </w:tc>
      </w:tr>
      <w:tr>
        <w:trPr>
          <w:trHeight w:val="6" w:hRule="atLeast"/>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10/4/17</w:t>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Sabon gari</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15</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38</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Vaccination des enfants</w:t>
            </w:r>
          </w:p>
        </w:tc>
      </w:tr>
      <w:tr>
        <w:trPr>
          <w:trHeight w:val="6" w:hRule="atLeast"/>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15/4/17</w:t>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Ebrouk</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9</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50</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Propriété de la maison</w:t>
            </w:r>
          </w:p>
        </w:tc>
      </w:tr>
      <w:tr>
        <w:trPr>
          <w:trHeight w:val="6" w:hRule="atLeast"/>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25/4/17</w:t>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PMI</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15</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38</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Accouchement à domicile</w:t>
            </w:r>
          </w:p>
        </w:tc>
      </w:tr>
      <w:tr>
        <w:trPr>
          <w:trHeight w:val="6" w:hRule="atLeast"/>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30/4/17</w:t>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faisceau</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12</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39</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Comment faire SRO à la maison</w:t>
            </w:r>
          </w:p>
        </w:tc>
      </w:tr>
      <w:tr>
        <w:trPr>
          <w:trHeight w:val="6" w:hRule="atLeast"/>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rPr/>
            </w:pPr>
            <w:r>
              <w:rPr>
                <w:rFonts w:ascii="DejaVu Sans" w:hAnsi="DejaVu Sans"/>
                <w:color w:val="003366"/>
                <w:sz w:val="16"/>
                <w:szCs w:val="16"/>
              </w:rPr>
              <w:t>10/05/17</w:t>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rPr/>
            </w:pPr>
            <w:r>
              <w:rPr>
                <w:rFonts w:ascii="DejaVu Sans" w:hAnsi="DejaVu Sans"/>
                <w:color w:val="003366"/>
                <w:sz w:val="16"/>
                <w:szCs w:val="16"/>
              </w:rPr>
              <w:t>Alkoubla I</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12</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35</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NoSpacing"/>
              <w:spacing w:lineRule="auto" w:line="240" w:before="0" w:after="0"/>
              <w:rPr/>
            </w:pPr>
            <w:r>
              <w:rPr>
                <w:rFonts w:ascii="DejaVu Sans" w:hAnsi="DejaVu Sans"/>
                <w:color w:val="003366"/>
                <w:sz w:val="16"/>
                <w:szCs w:val="16"/>
              </w:rPr>
              <w:t>Accouchement à domicile</w:t>
            </w:r>
          </w:p>
        </w:tc>
      </w:tr>
      <w:tr>
        <w:trPr>
          <w:trHeight w:val="6" w:hRule="atLeast"/>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rPr/>
            </w:pPr>
            <w:r>
              <w:rPr>
                <w:rFonts w:ascii="DejaVu Sans" w:hAnsi="DejaVu Sans"/>
                <w:color w:val="003366"/>
                <w:sz w:val="16"/>
                <w:szCs w:val="16"/>
              </w:rPr>
              <w:t>15/05/17</w:t>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rPr/>
            </w:pPr>
            <w:r>
              <w:rPr>
                <w:rFonts w:ascii="DejaVu Sans" w:hAnsi="DejaVu Sans"/>
                <w:color w:val="003366"/>
                <w:sz w:val="16"/>
                <w:szCs w:val="16"/>
              </w:rPr>
              <w:t>Faisceaux</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7</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25</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NoSpacing"/>
              <w:spacing w:lineRule="auto" w:line="240" w:before="0" w:after="0"/>
              <w:rPr/>
            </w:pPr>
            <w:r>
              <w:rPr>
                <w:rFonts w:ascii="DejaVu Sans" w:hAnsi="DejaVu Sans"/>
                <w:color w:val="003366"/>
                <w:sz w:val="16"/>
                <w:szCs w:val="16"/>
              </w:rPr>
              <w:t>Paludisme</w:t>
            </w:r>
          </w:p>
        </w:tc>
      </w:tr>
      <w:tr>
        <w:trPr>
          <w:trHeight w:val="6" w:hRule="atLeast"/>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rPr/>
            </w:pPr>
            <w:r>
              <w:rPr>
                <w:rFonts w:ascii="DejaVu Sans" w:hAnsi="DejaVu Sans"/>
                <w:color w:val="003366"/>
                <w:sz w:val="16"/>
                <w:szCs w:val="16"/>
              </w:rPr>
              <w:t>20/05/17</w:t>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rPr/>
            </w:pPr>
            <w:r>
              <w:rPr>
                <w:rFonts w:ascii="DejaVu Sans" w:hAnsi="DejaVu Sans"/>
                <w:color w:val="003366"/>
                <w:sz w:val="16"/>
                <w:szCs w:val="16"/>
              </w:rPr>
              <w:t>Alkoubla II</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17</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30</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NoSpacing"/>
              <w:spacing w:lineRule="auto" w:line="240" w:before="0" w:after="0"/>
              <w:rPr/>
            </w:pPr>
            <w:r>
              <w:rPr>
                <w:rFonts w:ascii="DejaVu Sans" w:hAnsi="DejaVu Sans"/>
                <w:color w:val="003366"/>
                <w:sz w:val="16"/>
                <w:szCs w:val="16"/>
              </w:rPr>
              <w:t>Lavage des mains au savon</w:t>
            </w:r>
          </w:p>
        </w:tc>
      </w:tr>
      <w:tr>
        <w:trPr>
          <w:trHeight w:val="6" w:hRule="atLeast"/>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rPr/>
            </w:pPr>
            <w:r>
              <w:rPr>
                <w:rFonts w:ascii="DejaVu Sans" w:hAnsi="DejaVu Sans"/>
                <w:color w:val="003366"/>
                <w:sz w:val="16"/>
                <w:szCs w:val="16"/>
              </w:rPr>
              <w:t>25/05/17</w:t>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rPr/>
            </w:pPr>
            <w:r>
              <w:rPr>
                <w:rFonts w:ascii="DejaVu Sans" w:hAnsi="DejaVu Sans"/>
                <w:color w:val="003366"/>
                <w:sz w:val="16"/>
                <w:szCs w:val="16"/>
              </w:rPr>
              <w:t>maternité</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5</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28</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NoSpacing"/>
              <w:spacing w:lineRule="auto" w:line="240" w:before="0" w:after="0"/>
              <w:rPr/>
            </w:pPr>
            <w:r>
              <w:rPr>
                <w:rFonts w:ascii="DejaVu Sans" w:hAnsi="DejaVu Sans"/>
                <w:color w:val="003366"/>
                <w:sz w:val="16"/>
                <w:szCs w:val="16"/>
              </w:rPr>
              <w:t>Préparation de SRO à domicile</w:t>
            </w:r>
          </w:p>
        </w:tc>
      </w:tr>
      <w:tr>
        <w:trPr>
          <w:trHeight w:val="6" w:hRule="atLeast"/>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rPr/>
            </w:pPr>
            <w:r>
              <w:rPr>
                <w:rFonts w:ascii="DejaVu Sans" w:hAnsi="DejaVu Sans"/>
                <w:color w:val="003366"/>
                <w:sz w:val="16"/>
                <w:szCs w:val="16"/>
              </w:rPr>
              <w:t>30/05/17</w:t>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rPr/>
            </w:pPr>
            <w:r>
              <w:rPr>
                <w:rFonts w:ascii="DejaVu Sans" w:hAnsi="DejaVu Sans"/>
                <w:color w:val="003366"/>
                <w:sz w:val="16"/>
                <w:szCs w:val="16"/>
              </w:rPr>
              <w:t>PMI</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11</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37</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NoSpacing"/>
              <w:spacing w:lineRule="auto" w:line="240" w:before="0" w:after="0"/>
              <w:rPr/>
            </w:pPr>
            <w:r>
              <w:rPr>
                <w:rFonts w:ascii="DejaVu Sans" w:hAnsi="DejaVu Sans"/>
                <w:color w:val="003366"/>
                <w:sz w:val="16"/>
                <w:szCs w:val="16"/>
              </w:rPr>
              <w:t>Malnutrition</w:t>
            </w:r>
          </w:p>
        </w:tc>
      </w:tr>
      <w:tr>
        <w:trPr>
          <w:trHeight w:val="6" w:hRule="atLeast"/>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5/06/17</w:t>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Sabon carré</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20</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30</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Qu’est ce que l’anophèle</w:t>
            </w:r>
          </w:p>
        </w:tc>
      </w:tr>
      <w:tr>
        <w:trPr>
          <w:trHeight w:val="6" w:hRule="atLeast"/>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8/06/17</w:t>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faisseau</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Contenudetableau"/>
              <w:jc w:val="center"/>
              <w:rPr/>
            </w:pPr>
            <w:r>
              <w:rPr>
                <w:rFonts w:ascii="DejaVu Sans" w:hAnsi="DejaVu Sans"/>
                <w:sz w:val="16"/>
                <w:szCs w:val="16"/>
              </w:rPr>
              <w:t>1</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8</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30</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Le mode de transmission</w:t>
            </w:r>
          </w:p>
        </w:tc>
      </w:tr>
      <w:tr>
        <w:trPr>
          <w:trHeight w:val="6" w:hRule="atLeast"/>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10/06/17</w:t>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Alkoubla</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Contenudetableau"/>
              <w:jc w:val="center"/>
              <w:rPr/>
            </w:pPr>
            <w:r>
              <w:rPr>
                <w:rFonts w:ascii="DejaVu Sans" w:hAnsi="DejaVu Sans"/>
                <w:sz w:val="16"/>
                <w:szCs w:val="16"/>
              </w:rPr>
              <w:t>1</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16</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45</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Qu’est ce que le paludisme</w:t>
            </w:r>
          </w:p>
        </w:tc>
      </w:tr>
      <w:tr>
        <w:trPr>
          <w:trHeight w:val="6" w:hRule="atLeast"/>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15/06/17</w:t>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maternité</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Contenudetableau"/>
              <w:jc w:val="center"/>
              <w:rPr/>
            </w:pPr>
            <w:r>
              <w:rPr>
                <w:rFonts w:ascii="DejaVu Sans" w:hAnsi="DejaVu Sans"/>
                <w:sz w:val="16"/>
                <w:szCs w:val="16"/>
              </w:rPr>
              <w:t>1</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3</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25</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Lavage des mains au savon</w:t>
            </w:r>
          </w:p>
        </w:tc>
      </w:tr>
      <w:tr>
        <w:trPr>
          <w:trHeight w:val="6" w:hRule="atLeast"/>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30/06/17</w:t>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color w:val="003366"/>
                <w:sz w:val="16"/>
                <w:szCs w:val="16"/>
              </w:rPr>
              <w:t>PMI</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Contenudetableau"/>
              <w:jc w:val="center"/>
              <w:rPr/>
            </w:pPr>
            <w:r>
              <w:rPr>
                <w:rFonts w:ascii="DejaVu Sans" w:hAnsi="DejaVu Sans"/>
                <w:sz w:val="16"/>
                <w:szCs w:val="16"/>
              </w:rPr>
              <w:t>1</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8</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color w:val="003366"/>
                <w:sz w:val="16"/>
                <w:szCs w:val="16"/>
              </w:rPr>
              <w:t>18</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Contenudetableau"/>
              <w:rPr>
                <w:rFonts w:ascii="DejaVu Sans" w:hAnsi="DejaVu Sans"/>
                <w:sz w:val="16"/>
                <w:szCs w:val="16"/>
              </w:rPr>
            </w:pPr>
            <w:r>
              <w:rPr>
                <w:rFonts w:ascii="DejaVu Sans" w:hAnsi="DejaVu Sans"/>
                <w:sz w:val="16"/>
                <w:szCs w:val="16"/>
              </w:rPr>
            </w:r>
          </w:p>
        </w:tc>
      </w:tr>
      <w:tr>
        <w:trPr/>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rFonts w:ascii="DejaVu Sans" w:hAnsi="DejaVu Sans"/>
                <w:sz w:val="16"/>
                <w:szCs w:val="16"/>
              </w:rPr>
            </w:pPr>
            <w:r>
              <w:rPr>
                <w:rFonts w:ascii="DejaVu Sans" w:hAnsi="DejaVu Sans"/>
                <w:sz w:val="16"/>
                <w:szCs w:val="16"/>
              </w:rPr>
            </w:r>
          </w:p>
        </w:tc>
        <w:tc>
          <w:tcPr>
            <w:tcW w:w="1677"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both"/>
              <w:rPr/>
            </w:pPr>
            <w:r>
              <w:rPr>
                <w:rFonts w:ascii="DejaVu Sans" w:hAnsi="DejaVu Sans"/>
                <w:b/>
                <w:bCs/>
                <w:color w:val="003366"/>
                <w:sz w:val="16"/>
                <w:szCs w:val="16"/>
              </w:rPr>
              <w:t>TOTAL</w:t>
            </w:r>
          </w:p>
        </w:tc>
        <w:tc>
          <w:tcPr>
            <w:tcW w:w="1292"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Contenudetableau"/>
              <w:jc w:val="center"/>
              <w:rPr/>
            </w:pPr>
            <w:r>
              <w:rPr>
                <w:rFonts w:ascii="DejaVu Sans" w:hAnsi="DejaVu Sans"/>
                <w:b/>
                <w:bCs/>
                <w:color w:val="003366"/>
                <w:sz w:val="16"/>
                <w:szCs w:val="16"/>
              </w:rPr>
              <w:t>19</w:t>
            </w:r>
          </w:p>
        </w:tc>
        <w:tc>
          <w:tcPr>
            <w:tcW w:w="1028"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b/>
                <w:bCs/>
                <w:color w:val="003366"/>
                <w:sz w:val="16"/>
                <w:szCs w:val="16"/>
              </w:rPr>
              <w:t>219</w:t>
            </w:r>
          </w:p>
        </w:tc>
        <w:tc>
          <w:tcPr>
            <w:tcW w:w="963" w:type="dxa"/>
            <w:tcBorders>
              <w:top w:val="single" w:sz="2" w:space="0" w:color="000001"/>
              <w:left w:val="single" w:sz="2" w:space="0" w:color="000001"/>
              <w:bottom w:val="single" w:sz="2" w:space="0" w:color="000001"/>
              <w:insideH w:val="single" w:sz="2" w:space="0" w:color="000001"/>
            </w:tcBorders>
            <w:shd w:fill="auto" w:val="clear"/>
            <w:tcMar>
              <w:left w:w="42" w:type="dxa"/>
            </w:tcMar>
          </w:tcPr>
          <w:p>
            <w:pPr>
              <w:pStyle w:val="NoSpacing"/>
              <w:spacing w:lineRule="auto" w:line="240" w:before="0" w:after="0"/>
              <w:jc w:val="center"/>
              <w:rPr/>
            </w:pPr>
            <w:r>
              <w:rPr>
                <w:rFonts w:ascii="DejaVu Sans" w:hAnsi="DejaVu Sans"/>
                <w:b/>
                <w:bCs/>
                <w:color w:val="003366"/>
                <w:sz w:val="16"/>
                <w:szCs w:val="16"/>
              </w:rPr>
              <w:t>621</w:t>
            </w:r>
          </w:p>
        </w:tc>
        <w:tc>
          <w:tcPr>
            <w:tcW w:w="3426"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fill="auto" w:val="clear"/>
            <w:tcMar>
              <w:left w:w="42" w:type="dxa"/>
            </w:tcMar>
          </w:tcPr>
          <w:p>
            <w:pPr>
              <w:pStyle w:val="Contenudetableau"/>
              <w:rPr>
                <w:rFonts w:ascii="DejaVu Sans" w:hAnsi="DejaVu Sans"/>
                <w:sz w:val="16"/>
                <w:szCs w:val="16"/>
              </w:rPr>
            </w:pPr>
            <w:r>
              <w:rPr>
                <w:rFonts w:ascii="DejaVu Sans" w:hAnsi="DejaVu Sans"/>
                <w:sz w:val="16"/>
                <w:szCs w:val="16"/>
              </w:rPr>
            </w:r>
          </w:p>
        </w:tc>
      </w:tr>
    </w:tbl>
    <w:p>
      <w:pPr>
        <w:pStyle w:val="Normal"/>
        <w:spacing w:before="120" w:after="0"/>
        <w:rPr/>
      </w:pPr>
      <w:r>
        <w:rPr>
          <w:rFonts w:ascii="Arial" w:hAnsi="Arial"/>
          <w:b w:val="false"/>
          <w:bCs w:val="false"/>
          <w:color w:val="003366"/>
          <w:sz w:val="22"/>
          <w:szCs w:val="22"/>
        </w:rPr>
        <w:t>Au total ce sont plus de 840 personnes qui ont été sensibilisés au travers de 19 séances. La proportion de femmes étant de plus de 73 %.</w:t>
      </w:r>
    </w:p>
    <w:p>
      <w:pPr>
        <w:pStyle w:val="Normal"/>
        <w:spacing w:before="120" w:after="0"/>
        <w:rPr>
          <w:rFonts w:ascii="Arial" w:hAnsi="Arial"/>
          <w:b w:val="false"/>
          <w:b w:val="false"/>
          <w:bCs w:val="false"/>
          <w:color w:val="003366"/>
          <w:sz w:val="22"/>
          <w:szCs w:val="22"/>
        </w:rPr>
      </w:pPr>
      <w:r>
        <w:rPr/>
      </w:r>
    </w:p>
    <w:p>
      <w:pPr>
        <w:pStyle w:val="Normal1"/>
        <w:spacing w:before="120" w:after="0"/>
        <w:rPr/>
      </w:pPr>
      <w:bookmarkStart w:id="0" w:name="__DdeLink__4042_554865755"/>
      <w:r>
        <w:rPr>
          <w:rFonts w:ascii="Aial" w:hAnsi="Aial"/>
          <w:b/>
          <w:bCs/>
          <w:color w:val="003366"/>
          <w:sz w:val="22"/>
          <w:szCs w:val="22"/>
        </w:rPr>
        <w:t>- Centre d</w:t>
      </w:r>
      <w:bookmarkEnd w:id="0"/>
      <w:r>
        <w:rPr>
          <w:rFonts w:ascii="Aial" w:hAnsi="Aial"/>
          <w:b/>
          <w:bCs/>
          <w:color w:val="003366"/>
          <w:sz w:val="22"/>
          <w:szCs w:val="22"/>
        </w:rPr>
        <w:t>e stockage pour les déchets dangereux</w:t>
      </w:r>
    </w:p>
    <w:p>
      <w:pPr>
        <w:pStyle w:val="Normal1"/>
        <w:spacing w:before="120" w:after="0"/>
        <w:rPr/>
      </w:pPr>
      <w:r>
        <w:rPr>
          <w:rFonts w:ascii="Aial" w:hAnsi="Aial"/>
          <w:color w:val="003366"/>
          <w:sz w:val="22"/>
          <w:szCs w:val="22"/>
        </w:rPr>
        <w:t>Le lieu est identifié et sera propriété et gestion de Chlorophylle Niger. En effet la situation de la Mairie ne peut pas permettre d’avancer cette activité, c’est pourquoi nous avons choisi de faire avec nos propres moyens en attendant une situation administrative plus en rapport avec les enjeux de notre programme.</w:t>
      </w:r>
    </w:p>
    <w:p>
      <w:pPr>
        <w:pStyle w:val="Normal1"/>
        <w:tabs>
          <w:tab w:val="right" w:pos="10064" w:leader="none"/>
        </w:tabs>
        <w:spacing w:before="120" w:after="0"/>
        <w:rPr/>
      </w:pPr>
      <w:r>
        <w:rPr>
          <w:rFonts w:ascii="Aial" w:hAnsi="Aial"/>
          <w:i/>
          <w:iCs/>
          <w:color w:val="003366"/>
          <w:sz w:val="22"/>
          <w:szCs w:val="22"/>
        </w:rPr>
        <w:t>L’opération Piles a été relancée</w:t>
      </w:r>
    </w:p>
    <w:p>
      <w:pPr>
        <w:pStyle w:val="NoSpacing"/>
        <w:spacing w:before="120" w:after="0"/>
        <w:jc w:val="both"/>
        <w:rPr/>
      </w:pPr>
      <w:r>
        <w:rPr>
          <w:rFonts w:ascii="Aial" w:hAnsi="Aial"/>
          <w:color w:val="003366"/>
          <w:sz w:val="22"/>
          <w:szCs w:val="22"/>
        </w:rPr>
        <w:t xml:space="preserve">Nous avions débuté l’opération piles contre mil le 20 mai pour suspendre le 27. L’échange 3 kg de pile contre 1kg de mil est jugé insuffisant par les femmes qui collectent les piles. Dans la phase précédente, nous avions fais le contraire. </w:t>
      </w:r>
    </w:p>
    <w:p>
      <w:pPr>
        <w:pStyle w:val="NoSpacing"/>
        <w:spacing w:before="120" w:after="0"/>
        <w:jc w:val="both"/>
        <w:rPr/>
      </w:pPr>
      <w:r>
        <w:rPr>
          <w:rFonts w:ascii="Aial" w:hAnsi="Aial"/>
          <w:color w:val="003366"/>
          <w:sz w:val="22"/>
          <w:szCs w:val="22"/>
        </w:rPr>
        <w:t>330 kg de mil échangé contre 1005 kg de piles. Nous sommes en contact avec une association de Pau (64) qui a réalisé ce type d’opération à Agadez. Nous devrions pouvoir les acheminer en France ou la société Paprec de Bordeaux les traitera.</w:t>
      </w:r>
    </w:p>
    <w:p>
      <w:pPr>
        <w:pStyle w:val="NoSpacing"/>
        <w:spacing w:before="120" w:after="0"/>
        <w:jc w:val="both"/>
        <w:rPr/>
      </w:pPr>
      <w:r>
        <w:rPr>
          <w:rFonts w:ascii="Aial" w:hAnsi="Aial"/>
          <w:color w:val="003366"/>
          <w:sz w:val="22"/>
          <w:szCs w:val="22"/>
        </w:rPr>
        <w:t>Il faut savoir que les piles se font de plus en plus rares. Par ce que les gens utilisent des piles de téléphones portables et aussi des piles des montres pour certains radios et lampes torches. Il y a aussi des lampes torches qui se chargent par l’électricité et aussi avec l’énergie solaire.</w:t>
      </w:r>
    </w:p>
    <w:p>
      <w:pPr>
        <w:pStyle w:val="NoSpacing"/>
        <w:spacing w:before="120" w:after="0"/>
        <w:jc w:val="both"/>
        <w:rPr>
          <w:rFonts w:ascii="Aial" w:hAnsi="Aial"/>
          <w:color w:val="003366"/>
        </w:rPr>
      </w:pPr>
      <w:r>
        <w:rPr>
          <w:rFonts w:ascii="Aial" w:hAnsi="Aial"/>
          <w:color w:val="003366"/>
        </w:rPr>
      </w:r>
    </w:p>
    <w:tbl>
      <w:tblPr>
        <w:tblStyle w:val="Grilledutableau"/>
        <w:tblW w:w="9075" w:type="dxa"/>
        <w:jc w:val="left"/>
        <w:tblInd w:w="542" w:type="dxa"/>
        <w:tblCellMar>
          <w:top w:w="0" w:type="dxa"/>
          <w:left w:w="68" w:type="dxa"/>
          <w:bottom w:w="0" w:type="dxa"/>
          <w:right w:w="108" w:type="dxa"/>
        </w:tblCellMar>
        <w:tblLook w:val="04a0"/>
      </w:tblPr>
      <w:tblGrid>
        <w:gridCol w:w="1713"/>
        <w:gridCol w:w="2299"/>
        <w:gridCol w:w="2312"/>
        <w:gridCol w:w="2750"/>
      </w:tblGrid>
      <w:tr>
        <w:trPr/>
        <w:tc>
          <w:tcPr>
            <w:tcW w:w="1713" w:type="dxa"/>
            <w:tcBorders/>
            <w:shd w:fill="auto" w:val="clear"/>
            <w:tcMar>
              <w:left w:w="68" w:type="dxa"/>
            </w:tcMar>
          </w:tcPr>
          <w:p>
            <w:pPr>
              <w:pStyle w:val="NoSpacing"/>
              <w:spacing w:lineRule="auto" w:line="240" w:before="0" w:after="0"/>
              <w:jc w:val="both"/>
              <w:rPr/>
            </w:pPr>
            <w:r>
              <w:rPr>
                <w:rFonts w:ascii="Aial" w:hAnsi="Aial"/>
                <w:color w:val="003366"/>
                <w:sz w:val="16"/>
                <w:szCs w:val="16"/>
              </w:rPr>
              <w:t>Année</w:t>
            </w:r>
          </w:p>
        </w:tc>
        <w:tc>
          <w:tcPr>
            <w:tcW w:w="2299" w:type="dxa"/>
            <w:tcBorders/>
            <w:shd w:fill="auto" w:val="clear"/>
            <w:tcMar>
              <w:left w:w="68" w:type="dxa"/>
            </w:tcMar>
          </w:tcPr>
          <w:p>
            <w:pPr>
              <w:pStyle w:val="NoSpacing"/>
              <w:spacing w:lineRule="auto" w:line="240" w:before="0" w:after="0"/>
              <w:jc w:val="both"/>
              <w:rPr/>
            </w:pPr>
            <w:r>
              <w:rPr>
                <w:rFonts w:ascii="Aial" w:hAnsi="Aial"/>
                <w:color w:val="003366"/>
                <w:sz w:val="16"/>
                <w:szCs w:val="16"/>
              </w:rPr>
              <w:t>quantité</w:t>
            </w:r>
          </w:p>
        </w:tc>
        <w:tc>
          <w:tcPr>
            <w:tcW w:w="2312" w:type="dxa"/>
            <w:tcBorders/>
            <w:shd w:fill="auto" w:val="clear"/>
            <w:tcMar>
              <w:left w:w="68" w:type="dxa"/>
            </w:tcMar>
          </w:tcPr>
          <w:p>
            <w:pPr>
              <w:pStyle w:val="NoSpacing"/>
              <w:spacing w:lineRule="auto" w:line="240" w:before="0" w:after="0"/>
              <w:jc w:val="both"/>
              <w:rPr/>
            </w:pPr>
            <w:r>
              <w:rPr>
                <w:rFonts w:ascii="Aial" w:hAnsi="Aial"/>
                <w:color w:val="003366"/>
                <w:sz w:val="16"/>
                <w:szCs w:val="16"/>
              </w:rPr>
              <w:t>Mil (kg)</w:t>
            </w:r>
          </w:p>
        </w:tc>
        <w:tc>
          <w:tcPr>
            <w:tcW w:w="2750" w:type="dxa"/>
            <w:tcBorders/>
            <w:shd w:fill="auto" w:val="clear"/>
            <w:tcMar>
              <w:left w:w="68" w:type="dxa"/>
            </w:tcMar>
          </w:tcPr>
          <w:p>
            <w:pPr>
              <w:pStyle w:val="NoSpacing"/>
              <w:spacing w:lineRule="auto" w:line="240" w:before="0" w:after="0"/>
              <w:jc w:val="both"/>
              <w:rPr/>
            </w:pPr>
            <w:r>
              <w:rPr>
                <w:rFonts w:ascii="Aial" w:hAnsi="Aial"/>
                <w:color w:val="003366"/>
                <w:sz w:val="16"/>
                <w:szCs w:val="16"/>
              </w:rPr>
              <w:t>Nbre de collecteurs</w:t>
            </w:r>
          </w:p>
        </w:tc>
      </w:tr>
      <w:tr>
        <w:trPr/>
        <w:tc>
          <w:tcPr>
            <w:tcW w:w="1713" w:type="dxa"/>
            <w:tcBorders/>
            <w:shd w:fill="auto" w:val="clear"/>
            <w:tcMar>
              <w:left w:w="68" w:type="dxa"/>
            </w:tcMar>
          </w:tcPr>
          <w:p>
            <w:pPr>
              <w:pStyle w:val="NoSpacing"/>
              <w:spacing w:lineRule="auto" w:line="240" w:before="0" w:after="0"/>
              <w:jc w:val="both"/>
              <w:rPr/>
            </w:pPr>
            <w:r>
              <w:rPr>
                <w:rFonts w:ascii="Aial" w:hAnsi="Aial"/>
                <w:color w:val="003366"/>
                <w:sz w:val="16"/>
                <w:szCs w:val="16"/>
              </w:rPr>
              <w:t>2013</w:t>
            </w:r>
          </w:p>
        </w:tc>
        <w:tc>
          <w:tcPr>
            <w:tcW w:w="2299" w:type="dxa"/>
            <w:tcBorders/>
            <w:shd w:fill="auto" w:val="clear"/>
            <w:tcMar>
              <w:left w:w="68" w:type="dxa"/>
            </w:tcMar>
          </w:tcPr>
          <w:p>
            <w:pPr>
              <w:pStyle w:val="NoSpacing"/>
              <w:spacing w:lineRule="auto" w:line="240" w:before="0" w:after="0"/>
              <w:jc w:val="both"/>
              <w:rPr/>
            </w:pPr>
            <w:r>
              <w:rPr>
                <w:rFonts w:ascii="Aial" w:hAnsi="Aial"/>
                <w:color w:val="003366"/>
                <w:sz w:val="16"/>
                <w:szCs w:val="16"/>
              </w:rPr>
              <w:t>491</w:t>
            </w:r>
          </w:p>
        </w:tc>
        <w:tc>
          <w:tcPr>
            <w:tcW w:w="2312" w:type="dxa"/>
            <w:tcBorders/>
            <w:shd w:fill="auto" w:val="clear"/>
            <w:tcMar>
              <w:left w:w="68" w:type="dxa"/>
            </w:tcMar>
          </w:tcPr>
          <w:p>
            <w:pPr>
              <w:pStyle w:val="NoSpacing"/>
              <w:spacing w:lineRule="auto" w:line="240" w:before="0" w:after="0"/>
              <w:jc w:val="both"/>
              <w:rPr/>
            </w:pPr>
            <w:r>
              <w:rPr>
                <w:rFonts w:ascii="Aial" w:hAnsi="Aial"/>
                <w:color w:val="003366"/>
                <w:sz w:val="16"/>
                <w:szCs w:val="16"/>
              </w:rPr>
              <w:t>982</w:t>
            </w:r>
          </w:p>
        </w:tc>
        <w:tc>
          <w:tcPr>
            <w:tcW w:w="2750" w:type="dxa"/>
            <w:tcBorders/>
            <w:shd w:fill="auto" w:val="clear"/>
            <w:tcMar>
              <w:left w:w="68" w:type="dxa"/>
            </w:tcMar>
          </w:tcPr>
          <w:p>
            <w:pPr>
              <w:pStyle w:val="NoSpacing"/>
              <w:spacing w:lineRule="auto" w:line="240" w:before="0" w:after="0"/>
              <w:jc w:val="both"/>
              <w:rPr/>
            </w:pPr>
            <w:r>
              <w:rPr>
                <w:rFonts w:ascii="Aial" w:hAnsi="Aial"/>
                <w:color w:val="003366"/>
                <w:sz w:val="16"/>
                <w:szCs w:val="16"/>
              </w:rPr>
              <w:t>26</w:t>
            </w:r>
          </w:p>
        </w:tc>
      </w:tr>
      <w:tr>
        <w:trPr/>
        <w:tc>
          <w:tcPr>
            <w:tcW w:w="1713" w:type="dxa"/>
            <w:tcBorders/>
            <w:shd w:fill="auto" w:val="clear"/>
            <w:tcMar>
              <w:left w:w="68" w:type="dxa"/>
            </w:tcMar>
          </w:tcPr>
          <w:p>
            <w:pPr>
              <w:pStyle w:val="NoSpacing"/>
              <w:spacing w:lineRule="auto" w:line="240" w:before="0" w:after="0"/>
              <w:jc w:val="both"/>
              <w:rPr/>
            </w:pPr>
            <w:r>
              <w:rPr>
                <w:rFonts w:ascii="Aial" w:hAnsi="Aial"/>
                <w:color w:val="003366"/>
                <w:sz w:val="16"/>
                <w:szCs w:val="16"/>
              </w:rPr>
              <w:t>2017</w:t>
            </w:r>
          </w:p>
        </w:tc>
        <w:tc>
          <w:tcPr>
            <w:tcW w:w="2299" w:type="dxa"/>
            <w:tcBorders/>
            <w:shd w:fill="auto" w:val="clear"/>
            <w:tcMar>
              <w:left w:w="68" w:type="dxa"/>
            </w:tcMar>
          </w:tcPr>
          <w:p>
            <w:pPr>
              <w:pStyle w:val="NoSpacing"/>
              <w:spacing w:lineRule="auto" w:line="240" w:before="0" w:after="0"/>
              <w:jc w:val="both"/>
              <w:rPr/>
            </w:pPr>
            <w:r>
              <w:rPr>
                <w:rFonts w:ascii="Aial" w:hAnsi="Aial"/>
                <w:color w:val="003366"/>
                <w:sz w:val="16"/>
                <w:szCs w:val="16"/>
              </w:rPr>
              <w:t>1005</w:t>
            </w:r>
          </w:p>
        </w:tc>
        <w:tc>
          <w:tcPr>
            <w:tcW w:w="2312" w:type="dxa"/>
            <w:tcBorders/>
            <w:shd w:fill="auto" w:val="clear"/>
            <w:tcMar>
              <w:left w:w="68" w:type="dxa"/>
            </w:tcMar>
          </w:tcPr>
          <w:p>
            <w:pPr>
              <w:pStyle w:val="NoSpacing"/>
              <w:spacing w:lineRule="auto" w:line="240" w:before="0" w:after="0"/>
              <w:jc w:val="both"/>
              <w:rPr/>
            </w:pPr>
            <w:r>
              <w:rPr>
                <w:rFonts w:ascii="Aial" w:hAnsi="Aial"/>
                <w:color w:val="003366"/>
                <w:sz w:val="16"/>
                <w:szCs w:val="16"/>
              </w:rPr>
              <w:t>330</w:t>
            </w:r>
          </w:p>
        </w:tc>
        <w:tc>
          <w:tcPr>
            <w:tcW w:w="2750" w:type="dxa"/>
            <w:tcBorders/>
            <w:shd w:fill="auto" w:val="clear"/>
            <w:tcMar>
              <w:left w:w="68" w:type="dxa"/>
            </w:tcMar>
          </w:tcPr>
          <w:p>
            <w:pPr>
              <w:pStyle w:val="NoSpacing"/>
              <w:spacing w:lineRule="auto" w:line="240" w:before="0" w:after="0"/>
              <w:jc w:val="both"/>
              <w:rPr/>
            </w:pPr>
            <w:r>
              <w:rPr>
                <w:rFonts w:ascii="Aial" w:hAnsi="Aial"/>
                <w:color w:val="003366"/>
                <w:sz w:val="16"/>
                <w:szCs w:val="16"/>
              </w:rPr>
              <w:t>54</w:t>
            </w:r>
          </w:p>
        </w:tc>
      </w:tr>
    </w:tbl>
    <w:p>
      <w:pPr>
        <w:pStyle w:val="Normal1"/>
        <w:spacing w:before="120" w:after="0"/>
        <w:rPr/>
      </w:pPr>
      <w:r>
        <w:rPr>
          <w:rFonts w:ascii="Aial" w:hAnsi="Aial"/>
          <w:color w:val="003366"/>
          <w:sz w:val="22"/>
          <w:szCs w:val="22"/>
        </w:rPr>
        <w:t>Le centre stockera aussi les autres déchets dangereux (électroniques, substances chimiques, huiles de vidange, etc.), voir les plastiques. A chaque types de déchets il faut imaginer un moyen de collecte.</w:t>
      </w:r>
    </w:p>
    <w:p>
      <w:pPr>
        <w:pStyle w:val="Normal1"/>
        <w:spacing w:before="120" w:after="0"/>
        <w:rPr/>
      </w:pPr>
      <w:r>
        <w:rPr>
          <w:rFonts w:ascii="Aial" w:hAnsi="Aial"/>
          <w:color w:val="003366"/>
          <w:sz w:val="22"/>
          <w:szCs w:val="22"/>
        </w:rPr>
        <w:t>Attention le carré doit être restreint, 100 m² suffisent avec un mur + une abri simple avec porte et clé, ce n’est pas une maison. La construction ne sera autorisée que sous couvert d’une validation. Le budget est limité à 2 000 000 fcfa.</w:t>
      </w:r>
    </w:p>
    <w:p>
      <w:pPr>
        <w:pStyle w:val="Normal1"/>
        <w:spacing w:before="120" w:after="0"/>
        <w:rPr>
          <w:rFonts w:ascii="Aial" w:hAnsi="Aial"/>
          <w:b/>
          <w:b/>
          <w:bCs/>
          <w:color w:val="003366"/>
          <w:sz w:val="22"/>
          <w:szCs w:val="22"/>
        </w:rPr>
      </w:pPr>
      <w:r>
        <w:rPr>
          <w:rFonts w:ascii="Aial" w:hAnsi="Aial"/>
          <w:b/>
          <w:bCs/>
          <w:color w:val="003366"/>
          <w:sz w:val="22"/>
          <w:szCs w:val="22"/>
        </w:rPr>
      </w:r>
      <w:r>
        <w:br w:type="page"/>
      </w:r>
    </w:p>
    <w:p>
      <w:pPr>
        <w:pStyle w:val="Normal1"/>
        <w:spacing w:before="120" w:after="0"/>
        <w:rPr/>
      </w:pPr>
      <w:r>
        <w:rPr>
          <w:rFonts w:ascii="Aial" w:hAnsi="Aial"/>
          <w:b/>
          <w:bCs/>
          <w:color w:val="003366"/>
          <w:sz w:val="22"/>
          <w:szCs w:val="22"/>
        </w:rPr>
        <w:t>- État des dépenses</w:t>
      </w:r>
    </w:p>
    <w:p>
      <w:pPr>
        <w:pStyle w:val="Normal1"/>
        <w:spacing w:before="120" w:after="0"/>
        <w:rPr>
          <w:rFonts w:ascii="Aial" w:hAnsi="Aial"/>
          <w:color w:val="003366"/>
          <w:sz w:val="22"/>
          <w:szCs w:val="22"/>
        </w:rPr>
      </w:pPr>
      <w:r>
        <w:rPr>
          <w:rFonts w:ascii="Aial" w:hAnsi="Aial"/>
          <w:color w:val="003366"/>
          <w:sz w:val="22"/>
          <w:szCs w:val="22"/>
        </w:rPr>
        <w:drawing>
          <wp:anchor behindDoc="0" distT="0" distB="0" distL="0" distR="0" simplePos="0" locked="0" layoutInCell="1" allowOverlap="1" relativeHeight="5">
            <wp:simplePos x="0" y="0"/>
            <wp:positionH relativeFrom="column">
              <wp:posOffset>349885</wp:posOffset>
            </wp:positionH>
            <wp:positionV relativeFrom="paragraph">
              <wp:posOffset>138430</wp:posOffset>
            </wp:positionV>
            <wp:extent cx="5810885" cy="2079625"/>
            <wp:effectExtent l="0" t="0" r="0" b="0"/>
            <wp:wrapSquare wrapText="largest"/>
            <wp:docPr id="6" name="Objet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jet1" descr=""/>
                    <pic:cNvPicPr>
                      <a:picLocks noChangeAspect="1" noChangeArrowheads="1"/>
                    </pic:cNvPicPr>
                  </pic:nvPicPr>
                  <pic:blipFill>
                    <a:blip r:embed="rId8"/>
                    <a:stretch>
                      <a:fillRect/>
                    </a:stretch>
                  </pic:blipFill>
                  <pic:spPr bwMode="auto">
                    <a:xfrm>
                      <a:off x="0" y="0"/>
                      <a:ext cx="5810885" cy="2079625"/>
                    </a:xfrm>
                    <a:prstGeom prst="rect">
                      <a:avLst/>
                    </a:prstGeom>
                  </pic:spPr>
                </pic:pic>
              </a:graphicData>
            </a:graphic>
          </wp:anchor>
        </w:drawing>
      </w:r>
    </w:p>
    <w:p>
      <w:pPr>
        <w:pStyle w:val="Normal1"/>
        <w:spacing w:before="120" w:after="0"/>
        <w:rPr>
          <w:rFonts w:ascii="Aial" w:hAnsi="Aial"/>
          <w:color w:val="003366"/>
          <w:sz w:val="22"/>
          <w:szCs w:val="22"/>
        </w:rPr>
      </w:pPr>
      <w:r>
        <w:rPr>
          <w:rFonts w:ascii="Aial" w:hAnsi="Aial"/>
          <w:color w:val="003366"/>
          <w:sz w:val="22"/>
          <w:szCs w:val="22"/>
        </w:rPr>
      </w:r>
    </w:p>
    <w:p>
      <w:pPr>
        <w:pStyle w:val="Normal1"/>
        <w:spacing w:before="120" w:after="0"/>
        <w:rPr>
          <w:rFonts w:ascii="Aial" w:hAnsi="Aial"/>
          <w:color w:val="003366"/>
          <w:sz w:val="22"/>
          <w:szCs w:val="22"/>
        </w:rPr>
      </w:pPr>
      <w:r>
        <w:rPr>
          <w:rFonts w:ascii="Aial" w:hAnsi="Aial"/>
          <w:color w:val="003366"/>
          <w:sz w:val="22"/>
          <w:szCs w:val="22"/>
        </w:rPr>
      </w:r>
    </w:p>
    <w:p>
      <w:pPr>
        <w:pStyle w:val="Normal1"/>
        <w:spacing w:before="120" w:after="0"/>
        <w:rPr>
          <w:rFonts w:ascii="Aial" w:hAnsi="Aial"/>
          <w:color w:val="003366"/>
          <w:sz w:val="22"/>
          <w:szCs w:val="22"/>
        </w:rPr>
      </w:pPr>
      <w:r>
        <w:rPr>
          <w:rFonts w:ascii="Aial" w:hAnsi="Aial"/>
          <w:color w:val="003366"/>
          <w:sz w:val="22"/>
          <w:szCs w:val="22"/>
        </w:rPr>
      </w:r>
    </w:p>
    <w:p>
      <w:pPr>
        <w:pStyle w:val="Normal1"/>
        <w:spacing w:before="120" w:after="0"/>
        <w:rPr>
          <w:rFonts w:ascii="Aial" w:hAnsi="Aial"/>
          <w:color w:val="003366"/>
          <w:sz w:val="22"/>
          <w:szCs w:val="22"/>
        </w:rPr>
      </w:pPr>
      <w:r>
        <w:rPr>
          <w:rFonts w:ascii="Aial" w:hAnsi="Aial"/>
          <w:color w:val="003366"/>
          <w:sz w:val="22"/>
          <w:szCs w:val="22"/>
        </w:rPr>
      </w:r>
    </w:p>
    <w:p>
      <w:pPr>
        <w:pStyle w:val="Normal1"/>
        <w:spacing w:before="120" w:after="0"/>
        <w:rPr>
          <w:rFonts w:ascii="Aial" w:hAnsi="Aial"/>
          <w:color w:val="003366"/>
          <w:sz w:val="22"/>
          <w:szCs w:val="22"/>
        </w:rPr>
      </w:pPr>
      <w:r>
        <w:rPr>
          <w:rFonts w:ascii="Aial" w:hAnsi="Aial"/>
          <w:color w:val="003366"/>
          <w:sz w:val="22"/>
          <w:szCs w:val="22"/>
        </w:rPr>
      </w:r>
    </w:p>
    <w:p>
      <w:pPr>
        <w:pStyle w:val="Normal"/>
        <w:tabs>
          <w:tab w:val="right" w:pos="10064" w:leader="none"/>
        </w:tabs>
        <w:spacing w:before="120" w:after="0"/>
        <w:rPr>
          <w:rFonts w:ascii="Aial" w:hAnsi="Aial"/>
          <w:b/>
          <w:b/>
          <w:bCs/>
          <w:color w:val="003366"/>
          <w:sz w:val="22"/>
          <w:szCs w:val="22"/>
        </w:rPr>
      </w:pPr>
      <w:r>
        <w:rPr/>
      </w:r>
    </w:p>
    <w:p>
      <w:pPr>
        <w:pStyle w:val="Normal1"/>
        <w:spacing w:before="0" w:after="0"/>
        <w:jc w:val="both"/>
        <w:rPr>
          <w:color w:val="003366"/>
        </w:rPr>
      </w:pPr>
      <w:r>
        <w:rPr>
          <w:rFonts w:ascii="DejaVu Sans" w:hAnsi="DejaVu Sans"/>
          <w:b/>
          <w:bCs/>
          <w:color w:val="003366"/>
          <w:sz w:val="18"/>
          <w:szCs w:val="18"/>
        </w:rPr>
      </w:r>
    </w:p>
    <w:p>
      <w:pPr>
        <w:pStyle w:val="Normal1"/>
        <w:tabs>
          <w:tab w:val="right" w:pos="10064" w:leader="none"/>
        </w:tabs>
        <w:spacing w:before="0" w:after="0"/>
        <w:jc w:val="both"/>
        <w:rPr>
          <w:rFonts w:ascii="DejaVu Sans" w:hAnsi="DejaVu Sans"/>
          <w:b/>
          <w:b/>
          <w:bCs/>
          <w:color w:val="003366"/>
          <w:sz w:val="18"/>
          <w:szCs w:val="18"/>
        </w:rPr>
      </w:pPr>
      <w:r>
        <w:rPr>
          <w:rFonts w:ascii="DejaVu Sans" w:hAnsi="DejaVu Sans"/>
          <w:b/>
          <w:bCs/>
          <w:color w:val="003366"/>
          <w:sz w:val="18"/>
          <w:szCs w:val="18"/>
        </w:rPr>
      </w:r>
    </w:p>
    <w:p>
      <w:pPr>
        <w:pStyle w:val="Normal1"/>
        <w:tabs>
          <w:tab w:val="right" w:pos="10064" w:leader="none"/>
        </w:tabs>
        <w:spacing w:before="0" w:after="0"/>
        <w:jc w:val="both"/>
        <w:rPr>
          <w:rFonts w:ascii="DejaVu Sans" w:hAnsi="DejaVu Sans"/>
          <w:b/>
          <w:b/>
          <w:bCs/>
          <w:color w:val="003366"/>
          <w:sz w:val="18"/>
          <w:szCs w:val="18"/>
        </w:rPr>
      </w:pPr>
      <w:r>
        <w:rPr>
          <w:rFonts w:ascii="DejaVu Sans" w:hAnsi="DejaVu Sans"/>
          <w:b/>
          <w:bCs/>
          <w:color w:val="003366"/>
          <w:sz w:val="18"/>
          <w:szCs w:val="18"/>
        </w:rPr>
      </w:r>
    </w:p>
    <w:p>
      <w:pPr>
        <w:pStyle w:val="Normal1"/>
        <w:tabs>
          <w:tab w:val="right" w:pos="10064" w:leader="none"/>
        </w:tabs>
        <w:spacing w:before="0" w:after="0"/>
        <w:jc w:val="both"/>
        <w:rPr>
          <w:rFonts w:ascii="DejaVu Sans" w:hAnsi="DejaVu Sans"/>
          <w:b/>
          <w:b/>
          <w:bCs/>
          <w:color w:val="003366"/>
          <w:sz w:val="18"/>
          <w:szCs w:val="18"/>
        </w:rPr>
      </w:pPr>
      <w:r>
        <w:rPr>
          <w:rFonts w:ascii="DejaVu Sans" w:hAnsi="DejaVu Sans"/>
          <w:b/>
          <w:bCs/>
          <w:color w:val="003366"/>
          <w:sz w:val="18"/>
          <w:szCs w:val="18"/>
        </w:rPr>
      </w:r>
    </w:p>
    <w:p>
      <w:pPr>
        <w:pStyle w:val="Normal1"/>
        <w:tabs>
          <w:tab w:val="right" w:pos="10064" w:leader="none"/>
        </w:tabs>
        <w:spacing w:before="0" w:after="0"/>
        <w:jc w:val="both"/>
        <w:rPr>
          <w:rFonts w:ascii="DejaVu Sans" w:hAnsi="DejaVu Sans"/>
          <w:b/>
          <w:b/>
          <w:bCs/>
          <w:color w:val="003366"/>
          <w:sz w:val="18"/>
          <w:szCs w:val="18"/>
        </w:rPr>
      </w:pPr>
      <w:r>
        <w:rPr>
          <w:rFonts w:ascii="DejaVu Sans" w:hAnsi="DejaVu Sans"/>
          <w:b/>
          <w:bCs/>
          <w:color w:val="003366"/>
          <w:sz w:val="18"/>
          <w:szCs w:val="18"/>
        </w:rPr>
      </w:r>
    </w:p>
    <w:p>
      <w:pPr>
        <w:pStyle w:val="Normal1"/>
        <w:tabs>
          <w:tab w:val="right" w:pos="10064" w:leader="none"/>
        </w:tabs>
        <w:spacing w:before="0" w:after="0"/>
        <w:jc w:val="both"/>
        <w:rPr>
          <w:rFonts w:ascii="DejaVu Sans" w:hAnsi="DejaVu Sans"/>
          <w:b/>
          <w:b/>
          <w:bCs/>
          <w:color w:val="003366"/>
          <w:sz w:val="18"/>
          <w:szCs w:val="18"/>
        </w:rPr>
      </w:pPr>
      <w:r>
        <w:rPr>
          <w:rFonts w:ascii="DejaVu Sans" w:hAnsi="DejaVu Sans"/>
          <w:b/>
          <w:bCs/>
          <w:color w:val="003366"/>
          <w:sz w:val="18"/>
          <w:szCs w:val="18"/>
        </w:rPr>
      </w:r>
    </w:p>
    <w:p>
      <w:pPr>
        <w:pStyle w:val="Normal1"/>
        <w:tabs>
          <w:tab w:val="right" w:pos="10064" w:leader="none"/>
        </w:tabs>
        <w:spacing w:before="0" w:after="0"/>
        <w:jc w:val="both"/>
        <w:rPr>
          <w:rFonts w:ascii="DejaVu Sans" w:hAnsi="DejaVu Sans"/>
          <w:b/>
          <w:b/>
          <w:bCs/>
          <w:color w:val="003366"/>
          <w:sz w:val="18"/>
          <w:szCs w:val="18"/>
        </w:rPr>
      </w:pPr>
      <w:r>
        <w:rPr>
          <w:rFonts w:ascii="DejaVu Sans" w:hAnsi="DejaVu Sans"/>
          <w:b/>
          <w:bCs/>
          <w:color w:val="003366"/>
          <w:sz w:val="18"/>
          <w:szCs w:val="18"/>
        </w:rPr>
        <w:t>- Rapport Agent de l’assainissement du centre de santé</w:t>
      </w:r>
    </w:p>
    <w:p>
      <w:pPr>
        <w:pStyle w:val="Normal1"/>
        <w:tabs>
          <w:tab w:val="right" w:pos="10064" w:leader="none"/>
        </w:tabs>
        <w:spacing w:before="0" w:after="0"/>
        <w:jc w:val="both"/>
        <w:rPr>
          <w:rFonts w:ascii="DejaVu Sans" w:hAnsi="DejaVu Sans"/>
          <w:b/>
          <w:b/>
          <w:bCs/>
          <w:color w:val="003366"/>
          <w:sz w:val="18"/>
          <w:szCs w:val="18"/>
        </w:rPr>
      </w:pPr>
      <w:r>
        <w:rPr>
          <w:rFonts w:ascii="DejaVu Sans" w:hAnsi="DejaVu Sans"/>
          <w:b/>
          <w:bCs/>
          <w:color w:val="003366"/>
          <w:sz w:val="18"/>
          <w:szCs w:val="18"/>
        </w:rPr>
      </w:r>
    </w:p>
    <w:p>
      <w:pPr>
        <w:pStyle w:val="Normal1"/>
        <w:tabs>
          <w:tab w:val="right" w:pos="10064" w:leader="none"/>
        </w:tabs>
        <w:spacing w:before="0" w:after="0"/>
        <w:jc w:val="both"/>
        <w:rPr>
          <w:rFonts w:ascii="Aial" w:hAnsi="Aial"/>
          <w:b/>
          <w:b/>
          <w:bCs/>
          <w:color w:val="003366"/>
          <w:sz w:val="22"/>
          <w:szCs w:val="22"/>
        </w:rPr>
      </w:pPr>
      <w:r>
        <w:rPr>
          <w:rFonts w:ascii="Aial" w:hAnsi="Aial"/>
          <w:b/>
          <w:bCs/>
          <w:color w:val="003366"/>
          <w:sz w:val="22"/>
          <w:szCs w:val="22"/>
        </w:rPr>
        <w:drawing>
          <wp:anchor behindDoc="0" distT="0" distB="0" distL="0" distR="0" simplePos="0" locked="0" layoutInCell="1" allowOverlap="1" relativeHeight="8">
            <wp:simplePos x="0" y="0"/>
            <wp:positionH relativeFrom="column">
              <wp:posOffset>36830</wp:posOffset>
            </wp:positionH>
            <wp:positionV relativeFrom="paragraph">
              <wp:posOffset>47625</wp:posOffset>
            </wp:positionV>
            <wp:extent cx="3205480" cy="4368165"/>
            <wp:effectExtent l="0" t="0" r="0" b="0"/>
            <wp:wrapSquare wrapText="largest"/>
            <wp:docPr id="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pic:cNvPicPr>
                      <a:picLocks noChangeAspect="1" noChangeArrowheads="1"/>
                    </pic:cNvPicPr>
                  </pic:nvPicPr>
                  <pic:blipFill>
                    <a:blip r:embed="rId9"/>
                    <a:stretch>
                      <a:fillRect/>
                    </a:stretch>
                  </pic:blipFill>
                  <pic:spPr bwMode="auto">
                    <a:xfrm>
                      <a:off x="0" y="0"/>
                      <a:ext cx="3205480" cy="4368165"/>
                    </a:xfrm>
                    <a:prstGeom prst="rect">
                      <a:avLst/>
                    </a:prstGeom>
                  </pic:spPr>
                </pic:pic>
              </a:graphicData>
            </a:graphic>
          </wp:anchor>
        </w:drawing>
        <w:drawing>
          <wp:anchor behindDoc="0" distT="0" distB="0" distL="0" distR="0" simplePos="0" locked="0" layoutInCell="1" allowOverlap="1" relativeHeight="9">
            <wp:simplePos x="0" y="0"/>
            <wp:positionH relativeFrom="column">
              <wp:posOffset>3422650</wp:posOffset>
            </wp:positionH>
            <wp:positionV relativeFrom="paragraph">
              <wp:posOffset>71755</wp:posOffset>
            </wp:positionV>
            <wp:extent cx="3118485" cy="4352290"/>
            <wp:effectExtent l="0" t="0" r="0" b="0"/>
            <wp:wrapSquare wrapText="largest"/>
            <wp:docPr id="8"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 descr=""/>
                    <pic:cNvPicPr>
                      <a:picLocks noChangeAspect="1" noChangeArrowheads="1"/>
                    </pic:cNvPicPr>
                  </pic:nvPicPr>
                  <pic:blipFill>
                    <a:blip r:embed="rId10"/>
                    <a:stretch>
                      <a:fillRect/>
                    </a:stretch>
                  </pic:blipFill>
                  <pic:spPr bwMode="auto">
                    <a:xfrm>
                      <a:off x="0" y="0"/>
                      <a:ext cx="3118485" cy="4352290"/>
                    </a:xfrm>
                    <a:prstGeom prst="rect">
                      <a:avLst/>
                    </a:prstGeom>
                  </pic:spPr>
                </pic:pic>
              </a:graphicData>
            </a:graphic>
          </wp:anchor>
        </w:drawing>
      </w:r>
    </w:p>
    <w:p>
      <w:pPr>
        <w:sectPr>
          <w:type w:val="continuous"/>
          <w:pgSz w:w="11906" w:h="16838"/>
          <w:pgMar w:left="993" w:right="849" w:header="0" w:top="851" w:footer="132" w:bottom="709" w:gutter="0"/>
          <w:pgNumType w:fmt="decimal"/>
          <w:formProt w:val="false"/>
          <w:textDirection w:val="lrTb"/>
          <w:docGrid w:type="default" w:linePitch="240" w:charSpace="4294961151"/>
        </w:sectPr>
      </w:pPr>
    </w:p>
    <w:p>
      <w:pPr>
        <w:pStyle w:val="Normal1"/>
        <w:spacing w:before="120" w:after="0"/>
        <w:rPr>
          <w:rFonts w:ascii="Aial" w:hAnsi="Aial"/>
          <w:b/>
          <w:b/>
          <w:bCs/>
          <w:color w:val="003366"/>
          <w:sz w:val="22"/>
          <w:szCs w:val="22"/>
        </w:rPr>
      </w:pPr>
      <w:r>
        <w:rPr/>
        <w:drawing>
          <wp:anchor behindDoc="0" distT="0" distB="0" distL="0" distR="0" simplePos="0" locked="0" layoutInCell="1" allowOverlap="1" relativeHeight="10">
            <wp:simplePos x="0" y="0"/>
            <wp:positionH relativeFrom="column">
              <wp:posOffset>1743075</wp:posOffset>
            </wp:positionH>
            <wp:positionV relativeFrom="paragraph">
              <wp:posOffset>4176395</wp:posOffset>
            </wp:positionV>
            <wp:extent cx="2731770" cy="2249170"/>
            <wp:effectExtent l="0" t="0" r="0" b="0"/>
            <wp:wrapSquare wrapText="largest"/>
            <wp:docPr id="9"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 descr=""/>
                    <pic:cNvPicPr>
                      <a:picLocks noChangeAspect="1" noChangeArrowheads="1"/>
                    </pic:cNvPicPr>
                  </pic:nvPicPr>
                  <pic:blipFill>
                    <a:blip r:embed="rId11"/>
                    <a:stretch>
                      <a:fillRect/>
                    </a:stretch>
                  </pic:blipFill>
                  <pic:spPr bwMode="auto">
                    <a:xfrm>
                      <a:off x="0" y="0"/>
                      <a:ext cx="2731770" cy="2249170"/>
                    </a:xfrm>
                    <a:prstGeom prst="rect">
                      <a:avLst/>
                    </a:prstGeom>
                  </pic:spPr>
                </pic:pic>
              </a:graphicData>
            </a:graphic>
          </wp:anchor>
        </w:drawing>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Fonts w:ascii="Aial" w:hAnsi="Aial"/>
          <w:b/>
          <w:bCs/>
          <w:color w:val="003366"/>
          <w:sz w:val="22"/>
          <w:szCs w:val="22"/>
        </w:rPr>
      </w:r>
    </w:p>
    <w:p>
      <w:pPr>
        <w:pStyle w:val="Normal1"/>
        <w:spacing w:before="120" w:after="0"/>
        <w:rPr>
          <w:rFonts w:ascii="Aial" w:hAnsi="Aial"/>
          <w:b/>
          <w:b/>
          <w:bCs/>
          <w:color w:val="003366"/>
          <w:sz w:val="22"/>
          <w:szCs w:val="22"/>
        </w:rPr>
      </w:pPr>
      <w:r>
        <w:rPr/>
      </w:r>
    </w:p>
    <w:p>
      <w:pPr>
        <w:pStyle w:val="Normal1"/>
        <w:spacing w:before="120" w:after="0"/>
        <w:rPr/>
      </w:pPr>
      <w:r>
        <w:rPr/>
      </w:r>
    </w:p>
    <w:sectPr>
      <w:type w:val="continuous"/>
      <w:pgSz w:w="11906" w:h="16838"/>
      <w:pgMar w:left="993" w:right="849" w:header="0" w:top="851" w:footer="132" w:bottom="709" w:gutter="0"/>
      <w:cols w:num="3" w:space="0" w:equalWidth="true" w:sep="false"/>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swiss"/>
    <w:pitch w:val="variable"/>
  </w:font>
  <w:font w:name="Cambria">
    <w:charset w:val="01"/>
    <w:family w:val="roman"/>
    <w:pitch w:val="variable"/>
  </w:font>
  <w:font w:name="Times New Roman">
    <w:charset w:val="01"/>
    <w:family w:val="roman"/>
    <w:pitch w:val="variable"/>
  </w:font>
  <w:font w:name="Tahoma">
    <w:charset w:val="01"/>
    <w:family w:val="roman"/>
    <w:pitch w:val="variable"/>
  </w:font>
  <w:font w:name="Aial">
    <w:charset w:val="01"/>
    <w:family w:val="roman"/>
    <w:pitch w:val="variable"/>
  </w:font>
  <w:font w:name="Liberation Sans">
    <w:altName w:val="Arial"/>
    <w:charset w:val="01"/>
    <w:family w:val="roman"/>
    <w:pitch w:val="variable"/>
  </w:font>
  <w:font w:name="Arial">
    <w:charset w:val="01"/>
    <w:family w:val="roman"/>
    <w:pitch w:val="variable"/>
  </w:font>
  <w:font w:name="arial">
    <w:charset w:val="01"/>
    <w:family w:val="roman"/>
    <w:pitch w:val="variable"/>
  </w:font>
  <w:font w:name="Calibri">
    <w:charset w:val="01"/>
    <w:family w:val="roman"/>
    <w:pitch w:val="variable"/>
  </w:font>
  <w:font w:name="DejaVu Sans">
    <w:charset w:val="01"/>
    <w:family w:val="swiss"/>
    <w:pitch w:val="variable"/>
  </w:font>
  <w:font w:name="DejaVu Sans">
    <w:charset w:val="01"/>
    <w:family w:val="roman"/>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sz w:val="18"/>
        <w:szCs w:val="18"/>
        <w:rFonts w:ascii="Aial" w:hAnsi="Aial" w:eastAsia="Times New Roman"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120"/>
  <w:defaultTabStop w:val="708"/>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FreeSans"/>
        <w:szCs w:val="24"/>
        <w:lang w:val="fr-FR" w:eastAsia="zh-CN" w:bidi="hi-IN"/>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jc w:val="left"/>
      <w:textAlignment w:val="baseline"/>
    </w:pPr>
    <w:rPr>
      <w:rFonts w:ascii="Liberation Serif" w:hAnsi="Liberation Serif" w:eastAsia="Droid Sans Fallback" w:cs="FreeSans"/>
      <w:color w:val="00000A"/>
      <w:sz w:val="24"/>
      <w:szCs w:val="24"/>
      <w:lang w:val="fr-FR" w:eastAsia="zh-CN" w:bidi="hi-IN"/>
    </w:rPr>
  </w:style>
  <w:style w:type="paragraph" w:styleId="Titre1">
    <w:name w:val="Heading 1"/>
    <w:basedOn w:val="Titre"/>
    <w:link w:val="Titre1Car"/>
    <w:uiPriority w:val="9"/>
    <w:qFormat/>
    <w:rsid w:val="005a2a66"/>
    <w:pPr>
      <w:keepNext/>
      <w:keepLines/>
      <w:widowControl w:val="false"/>
      <w:bidi w:val="0"/>
      <w:spacing w:before="480" w:after="0"/>
      <w:jc w:val="left"/>
      <w:outlineLvl w:val="0"/>
    </w:pPr>
    <w:rPr>
      <w:rFonts w:ascii="Cambria" w:hAnsi="Cambria" w:eastAsia="Droid Sans Fallback" w:cs="Mangal"/>
      <w:b/>
      <w:bCs/>
      <w:color w:val="365F91"/>
      <w:sz w:val="28"/>
      <w:szCs w:val="25"/>
      <w:lang w:val="fr-FR" w:eastAsia="zh-CN" w:bidi="hi-IN"/>
    </w:rPr>
  </w:style>
  <w:style w:type="character" w:styleId="DefaultParagraphFont" w:default="1">
    <w:name w:val="Default Paragraph Font"/>
    <w:uiPriority w:val="1"/>
    <w:semiHidden/>
    <w:unhideWhenUsed/>
    <w:qFormat/>
    <w:rPr/>
  </w:style>
  <w:style w:type="character" w:styleId="SoustitreCar" w:customStyle="1">
    <w:name w:val="Sous-titre Car"/>
    <w:basedOn w:val="DefaultParagraphFont"/>
    <w:qFormat/>
    <w:rPr>
      <w:rFonts w:ascii="Cambria" w:hAnsi="Cambria" w:cs="F"/>
      <w:i/>
      <w:iCs/>
      <w:color w:val="4F81BD"/>
      <w:spacing w:val="15"/>
      <w:sz w:val="24"/>
      <w:szCs w:val="24"/>
      <w:lang w:eastAsia="fr-FR"/>
    </w:rPr>
  </w:style>
  <w:style w:type="character" w:styleId="EntteCar" w:customStyle="1">
    <w:name w:val="En-tête Car"/>
    <w:basedOn w:val="DefaultParagraphFont"/>
    <w:qFormat/>
    <w:rPr>
      <w:rFonts w:ascii="Times New Roman" w:hAnsi="Times New Roman" w:eastAsia="Times New Roman" w:cs="Times New Roman"/>
      <w:sz w:val="24"/>
      <w:szCs w:val="24"/>
      <w:lang w:eastAsia="fr-FR"/>
    </w:rPr>
  </w:style>
  <w:style w:type="character" w:styleId="PieddepageCar" w:customStyle="1">
    <w:name w:val="Pied de page Car"/>
    <w:basedOn w:val="DefaultParagraphFont"/>
    <w:qFormat/>
    <w:rPr>
      <w:rFonts w:ascii="Times New Roman" w:hAnsi="Times New Roman" w:eastAsia="Times New Roman" w:cs="Times New Roman"/>
      <w:sz w:val="24"/>
      <w:szCs w:val="24"/>
      <w:lang w:eastAsia="fr-FR"/>
    </w:rPr>
  </w:style>
  <w:style w:type="character" w:styleId="TextedebullesCar" w:customStyle="1">
    <w:name w:val="Texte de bulles Car"/>
    <w:basedOn w:val="DefaultParagraphFont"/>
    <w:qFormat/>
    <w:rPr>
      <w:rFonts w:ascii="Tahoma" w:hAnsi="Tahoma" w:eastAsia="Times New Roman" w:cs="Tahoma"/>
      <w:sz w:val="16"/>
      <w:szCs w:val="16"/>
      <w:lang w:eastAsia="fr-FR"/>
    </w:rPr>
  </w:style>
  <w:style w:type="character" w:styleId="ListLabel1" w:customStyle="1">
    <w:name w:val="ListLabel 1"/>
    <w:qFormat/>
    <w:rPr>
      <w:rFonts w:eastAsia="Times New Roman" w:cs="Times New Roman"/>
    </w:rPr>
  </w:style>
  <w:style w:type="character" w:styleId="ListLabel2" w:customStyle="1">
    <w:name w:val="ListLabel 2"/>
    <w:qFormat/>
    <w:rPr>
      <w:rFonts w:cs="Courier New"/>
    </w:rPr>
  </w:style>
  <w:style w:type="character" w:styleId="ListLabel3" w:customStyle="1">
    <w:name w:val="ListLabel 3"/>
    <w:qFormat/>
    <w:rPr>
      <w:rFonts w:eastAsia="Times New Roman" w:cs="Tahoma"/>
    </w:rPr>
  </w:style>
  <w:style w:type="character" w:styleId="ListLabel4" w:customStyle="1">
    <w:name w:val="ListLabel 4"/>
    <w:qFormat/>
    <w:rPr>
      <w:rFonts w:cs="Times New Roman"/>
    </w:rPr>
  </w:style>
  <w:style w:type="character" w:styleId="ListLabel5" w:customStyle="1">
    <w:name w:val="ListLabel 5"/>
    <w:qFormat/>
    <w:rPr>
      <w:rFonts w:cs="Courier New"/>
    </w:rPr>
  </w:style>
  <w:style w:type="character" w:styleId="ListLabel6" w:customStyle="1">
    <w:name w:val="ListLabel 6"/>
    <w:qFormat/>
    <w:rPr>
      <w:rFonts w:cs="Wingdings"/>
    </w:rPr>
  </w:style>
  <w:style w:type="character" w:styleId="ListLabel7" w:customStyle="1">
    <w:name w:val="ListLabel 7"/>
    <w:qFormat/>
    <w:rPr>
      <w:rFonts w:cs="Symbol"/>
    </w:rPr>
  </w:style>
  <w:style w:type="character" w:styleId="Titre1Car" w:customStyle="1">
    <w:name w:val="Titre 1 Car"/>
    <w:basedOn w:val="DefaultParagraphFont"/>
    <w:link w:val="Titre1"/>
    <w:uiPriority w:val="9"/>
    <w:qFormat/>
    <w:rsid w:val="005a2a66"/>
    <w:rPr>
      <w:rFonts w:ascii="Cambria" w:hAnsi="Cambria" w:cs="Mangal"/>
      <w:b/>
      <w:bCs/>
      <w:color w:val="365F91"/>
      <w:sz w:val="28"/>
      <w:szCs w:val="25"/>
    </w:rPr>
  </w:style>
  <w:style w:type="character" w:styleId="TitreCar" w:customStyle="1">
    <w:name w:val="Titre Car"/>
    <w:basedOn w:val="DefaultParagraphFont"/>
    <w:link w:val="Titre10"/>
    <w:uiPriority w:val="10"/>
    <w:qFormat/>
    <w:rsid w:val="00c36cd6"/>
    <w:rPr>
      <w:rFonts w:ascii="Cambria" w:hAnsi="Cambria" w:cs="Mangal"/>
      <w:color w:val="17365D"/>
      <w:spacing w:val="5"/>
      <w:sz w:val="52"/>
      <w:szCs w:val="47"/>
    </w:rPr>
  </w:style>
  <w:style w:type="character" w:styleId="LienInternet" w:customStyle="1">
    <w:name w:val="Lien Internet"/>
    <w:basedOn w:val="DefaultParagraphFont"/>
    <w:uiPriority w:val="99"/>
    <w:unhideWhenUsed/>
    <w:rsid w:val="00b52a15"/>
    <w:rPr>
      <w:color w:val="0000FF"/>
      <w:u w:val="single"/>
    </w:rPr>
  </w:style>
  <w:style w:type="character" w:styleId="SubtleReference">
    <w:name w:val="Subtle Reference"/>
    <w:basedOn w:val="DefaultParagraphFont"/>
    <w:uiPriority w:val="31"/>
    <w:qFormat/>
    <w:rsid w:val="0026328b"/>
    <w:rPr>
      <w:smallCaps/>
      <w:color w:val="C0504D"/>
      <w:u w:val="single"/>
    </w:rPr>
  </w:style>
  <w:style w:type="character" w:styleId="IntenseReference">
    <w:name w:val="Intense Reference"/>
    <w:basedOn w:val="DefaultParagraphFont"/>
    <w:uiPriority w:val="32"/>
    <w:qFormat/>
    <w:rsid w:val="0026328b"/>
    <w:rPr>
      <w:b/>
      <w:bCs/>
      <w:smallCaps/>
      <w:color w:val="C0504D"/>
      <w:spacing w:val="5"/>
      <w:u w:val="single"/>
    </w:rPr>
  </w:style>
  <w:style w:type="character" w:styleId="BookTitle">
    <w:name w:val="Book Title"/>
    <w:basedOn w:val="DefaultParagraphFont"/>
    <w:uiPriority w:val="33"/>
    <w:qFormat/>
    <w:rsid w:val="0026328b"/>
    <w:rPr>
      <w:b/>
      <w:bCs/>
      <w:smallCaps/>
      <w:spacing w:val="5"/>
    </w:rPr>
  </w:style>
  <w:style w:type="character" w:styleId="ListLabel8" w:customStyle="1">
    <w:name w:val="ListLabel 8"/>
    <w:qFormat/>
    <w:rPr>
      <w:rFonts w:eastAsia="Droid Sans Fallback" w:cs="FreeSans"/>
    </w:rPr>
  </w:style>
  <w:style w:type="character" w:styleId="ListLabel9" w:customStyle="1">
    <w:name w:val="ListLabel 9"/>
    <w:qFormat/>
    <w:rPr>
      <w:rFonts w:cs="Courier New"/>
    </w:rPr>
  </w:style>
  <w:style w:type="character" w:styleId="ListLabel10" w:customStyle="1">
    <w:name w:val="ListLabel 10"/>
    <w:qFormat/>
    <w:rPr>
      <w:rFonts w:eastAsia="Times New Roman" w:cs="Times New Roman"/>
    </w:rPr>
  </w:style>
  <w:style w:type="character" w:styleId="ListLabel11">
    <w:name w:val="ListLabel 11"/>
    <w:qFormat/>
    <w:rPr>
      <w:rFonts w:ascii="Aial" w:hAnsi="Aial" w:eastAsia="Times New Roman" w:cs="Times New Roman"/>
      <w:sz w:val="22"/>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ascii="Aial" w:hAnsi="Aial" w:eastAsia="Times New Roman" w:cs="Times New Roman"/>
      <w:sz w:val="22"/>
    </w:rPr>
  </w:style>
  <w:style w:type="character" w:styleId="ListLabel16">
    <w:name w:val="ListLabel 16"/>
    <w:qFormat/>
    <w:rPr>
      <w:rFonts w:cs="Courier New"/>
    </w:rPr>
  </w:style>
  <w:style w:type="character" w:styleId="ListLabel17">
    <w:name w:val="ListLabel 17"/>
    <w:qFormat/>
    <w:rPr>
      <w:rFonts w:cs="Wingdings"/>
    </w:rPr>
  </w:style>
  <w:style w:type="character" w:styleId="ListLabel18">
    <w:name w:val="ListLabel 18"/>
    <w:qFormat/>
    <w:rPr>
      <w:rFonts w:cs="Symbol"/>
    </w:rPr>
  </w:style>
  <w:style w:type="character" w:styleId="ListLabel19">
    <w:name w:val="ListLabel 19"/>
    <w:qFormat/>
    <w:rPr>
      <w:rFonts w:cs="Courier New"/>
    </w:rPr>
  </w:style>
  <w:style w:type="character" w:styleId="ListLabel20">
    <w:name w:val="ListLabel 20"/>
    <w:qFormat/>
    <w:rPr>
      <w:rFonts w:cs="Wingdings"/>
    </w:rPr>
  </w:style>
  <w:style w:type="character" w:styleId="ListLabel21">
    <w:name w:val="ListLabel 21"/>
    <w:qFormat/>
    <w:rPr>
      <w:rFonts w:cs="Symbol"/>
    </w:rPr>
  </w:style>
  <w:style w:type="character" w:styleId="ListLabel22">
    <w:name w:val="ListLabel 22"/>
    <w:qFormat/>
    <w:rPr>
      <w:rFonts w:cs="Courier New"/>
    </w:rPr>
  </w:style>
  <w:style w:type="character" w:styleId="ListLabel23">
    <w:name w:val="ListLabel 23"/>
    <w:qFormat/>
    <w:rPr>
      <w:rFonts w:cs="Wingdings"/>
    </w:rPr>
  </w:style>
  <w:style w:type="character" w:styleId="ListLabel24">
    <w:name w:val="ListLabel 24"/>
    <w:qFormat/>
    <w:rPr>
      <w:rFonts w:ascii="Aial" w:hAnsi="Aial" w:eastAsia="Times New Roman" w:cs="Times New Roman"/>
      <w:sz w:val="18"/>
      <w:szCs w:val="18"/>
    </w:rPr>
  </w:style>
  <w:style w:type="character" w:styleId="ListLabel25">
    <w:name w:val="ListLabel 25"/>
    <w:qFormat/>
    <w:rPr>
      <w:rFonts w:cs="Courier New"/>
    </w:rPr>
  </w:style>
  <w:style w:type="character" w:styleId="ListLabel26">
    <w:name w:val="ListLabel 26"/>
    <w:qFormat/>
    <w:rPr>
      <w:rFonts w:cs="Wingdings"/>
    </w:rPr>
  </w:style>
  <w:style w:type="character" w:styleId="ListLabel27">
    <w:name w:val="ListLabel 27"/>
    <w:qFormat/>
    <w:rPr>
      <w:rFonts w:cs="Symbol"/>
    </w:rPr>
  </w:style>
  <w:style w:type="character" w:styleId="ListLabel28">
    <w:name w:val="ListLabel 28"/>
    <w:qFormat/>
    <w:rPr>
      <w:rFonts w:cs="Courier New"/>
    </w:rPr>
  </w:style>
  <w:style w:type="character" w:styleId="ListLabel29">
    <w:name w:val="ListLabel 29"/>
    <w:qFormat/>
    <w:rPr>
      <w:rFonts w:cs="Wingdings"/>
    </w:rPr>
  </w:style>
  <w:style w:type="character" w:styleId="ListLabel30">
    <w:name w:val="ListLabel 30"/>
    <w:qFormat/>
    <w:rPr>
      <w:rFonts w:cs="Symbol"/>
    </w:rPr>
  </w:style>
  <w:style w:type="character" w:styleId="ListLabel31">
    <w:name w:val="ListLabel 31"/>
    <w:qFormat/>
    <w:rPr>
      <w:rFonts w:cs="Courier New"/>
    </w:rPr>
  </w:style>
  <w:style w:type="character" w:styleId="ListLabel32">
    <w:name w:val="ListLabel 32"/>
    <w:qFormat/>
    <w:rPr>
      <w:rFonts w:cs="Wingdings"/>
    </w:rPr>
  </w:style>
  <w:style w:type="paragraph" w:styleId="Titre">
    <w:name w:val="Titre"/>
    <w:basedOn w:val="Normal"/>
    <w:next w:val="Corpsdetexte"/>
    <w:qFormat/>
    <w:pPr>
      <w:keepNext/>
      <w:spacing w:before="240" w:after="120"/>
    </w:pPr>
    <w:rPr>
      <w:rFonts w:ascii="Liberation Sans" w:hAnsi="Liberation Sans" w:eastAsia="Noto Sans CJK SC Regular" w:cs="FreeSans"/>
      <w:sz w:val="28"/>
      <w:szCs w:val="28"/>
    </w:rPr>
  </w:style>
  <w:style w:type="paragraph" w:styleId="Corpsdetexte">
    <w:name w:val="Body Text"/>
    <w:basedOn w:val="Normal"/>
    <w:pPr>
      <w:spacing w:lineRule="auto" w:line="288" w:before="0" w:after="140"/>
    </w:pPr>
    <w:rPr/>
  </w:style>
  <w:style w:type="paragraph" w:styleId="Liste">
    <w:name w:val="List"/>
    <w:basedOn w:val="Corpsdetexte"/>
    <w:pPr>
      <w:widowControl w:val="false"/>
      <w:bidi w:val="0"/>
      <w:jc w:val="left"/>
    </w:pPr>
    <w:rPr>
      <w:rFonts w:ascii="Liberation Serif" w:hAnsi="Liberation Serif" w:eastAsia="Droid Sans Fallback" w:cs="Lohit Hindi"/>
      <w:color w:val="00000A"/>
      <w:sz w:val="24"/>
      <w:szCs w:val="24"/>
      <w:lang w:val="fr-FR" w:eastAsia="zh-CN" w:bidi="hi-IN"/>
    </w:rPr>
  </w:style>
  <w:style w:type="paragraph" w:styleId="Lgende">
    <w:name w:val="Caption"/>
    <w:basedOn w:val="Normal"/>
    <w:qFormat/>
    <w:pPr>
      <w:suppressLineNumbers/>
      <w:spacing w:before="120" w:after="120"/>
    </w:pPr>
    <w:rPr>
      <w:rFonts w:cs="FreeSans"/>
      <w:i/>
      <w:iCs/>
      <w:sz w:val="24"/>
      <w:szCs w:val="24"/>
    </w:rPr>
  </w:style>
  <w:style w:type="paragraph" w:styleId="Index" w:customStyle="1">
    <w:name w:val="Index"/>
    <w:basedOn w:val="Normal"/>
    <w:qFormat/>
    <w:pPr>
      <w:widowControl w:val="false"/>
      <w:suppressLineNumbers/>
      <w:bidi w:val="0"/>
      <w:jc w:val="left"/>
    </w:pPr>
    <w:rPr>
      <w:rFonts w:ascii="Liberation Serif" w:hAnsi="Liberation Serif" w:eastAsia="Droid Sans Fallback" w:cs="Lohit Hindi"/>
      <w:color w:val="00000A"/>
      <w:sz w:val="24"/>
      <w:szCs w:val="24"/>
      <w:lang w:val="fr-FR" w:eastAsia="zh-CN" w:bidi="hi-IN"/>
    </w:rPr>
  </w:style>
  <w:style w:type="paragraph" w:styleId="Normal1" w:customStyle="1">
    <w:name w:val="Normal1"/>
    <w:qFormat/>
    <w:pPr>
      <w:widowControl/>
      <w:suppressAutoHyphens w:val="true"/>
      <w:bidi w:val="0"/>
      <w:spacing w:lineRule="atLeast" w:line="100"/>
      <w:jc w:val="left"/>
    </w:pPr>
    <w:rPr>
      <w:rFonts w:ascii="Times New Roman" w:hAnsi="Times New Roman" w:eastAsia="Times New Roman" w:cs="Times New Roman"/>
      <w:color w:val="00000A"/>
      <w:sz w:val="24"/>
      <w:szCs w:val="24"/>
      <w:lang w:val="fr-FR" w:eastAsia="fr-FR" w:bidi="ar-SA"/>
    </w:rPr>
  </w:style>
  <w:style w:type="paragraph" w:styleId="Titre11" w:customStyle="1">
    <w:name w:val="Titre1"/>
    <w:basedOn w:val="Normal1"/>
    <w:link w:val="TitreCar"/>
    <w:qFormat/>
    <w:pPr>
      <w:keepNext/>
      <w:spacing w:before="240" w:after="120"/>
    </w:pPr>
    <w:rPr>
      <w:rFonts w:ascii="Arial" w:hAnsi="Arial" w:eastAsia="DejaVu Sans" w:cs="Lohit Hindi"/>
      <w:sz w:val="28"/>
      <w:szCs w:val="28"/>
    </w:rPr>
  </w:style>
  <w:style w:type="paragraph" w:styleId="Corpsdetexte1" w:customStyle="1">
    <w:name w:val="Corps de texte1"/>
    <w:basedOn w:val="Normal1"/>
    <w:qFormat/>
    <w:pPr>
      <w:spacing w:lineRule="auto" w:line="288" w:before="0" w:after="120"/>
    </w:pPr>
    <w:rPr/>
  </w:style>
  <w:style w:type="paragraph" w:styleId="Caption">
    <w:name w:val="caption"/>
    <w:basedOn w:val="Normal1"/>
    <w:qFormat/>
    <w:pPr>
      <w:suppressLineNumbers/>
      <w:spacing w:before="120" w:after="120"/>
    </w:pPr>
    <w:rPr>
      <w:rFonts w:cs="Lohit Hindi"/>
      <w:i/>
      <w:iCs/>
    </w:rPr>
  </w:style>
  <w:style w:type="paragraph" w:styleId="Soustitre">
    <w:name w:val="Subtitle"/>
    <w:basedOn w:val="Normal1"/>
    <w:qFormat/>
    <w:pPr/>
    <w:rPr>
      <w:rFonts w:ascii="Cambria" w:hAnsi="Cambria" w:cs="F"/>
      <w:i/>
      <w:iCs/>
      <w:color w:val="4F81BD"/>
      <w:spacing w:val="15"/>
    </w:rPr>
  </w:style>
  <w:style w:type="paragraph" w:styleId="NoSpacing">
    <w:name w:val="No Spacing"/>
    <w:qFormat/>
    <w:pPr>
      <w:widowControl/>
      <w:suppressAutoHyphens w:val="true"/>
      <w:bidi w:val="0"/>
      <w:spacing w:lineRule="atLeast" w:line="100"/>
      <w:jc w:val="left"/>
    </w:pPr>
    <w:rPr>
      <w:rFonts w:ascii="Times New Roman" w:hAnsi="Times New Roman" w:eastAsia="Times New Roman" w:cs="Times New Roman"/>
      <w:color w:val="00000A"/>
      <w:sz w:val="24"/>
      <w:szCs w:val="24"/>
      <w:lang w:val="fr-FR" w:eastAsia="fr-FR" w:bidi="ar-SA"/>
    </w:rPr>
  </w:style>
  <w:style w:type="paragraph" w:styleId="Entte">
    <w:name w:val="Header"/>
    <w:basedOn w:val="Normal1"/>
    <w:pPr>
      <w:tabs>
        <w:tab w:val="center" w:pos="4536" w:leader="none"/>
        <w:tab w:val="right" w:pos="9072" w:leader="none"/>
      </w:tabs>
    </w:pPr>
    <w:rPr/>
  </w:style>
  <w:style w:type="paragraph" w:styleId="Pieddepage">
    <w:name w:val="Footer"/>
    <w:basedOn w:val="Normal1"/>
    <w:pPr>
      <w:tabs>
        <w:tab w:val="center" w:pos="4536" w:leader="none"/>
        <w:tab w:val="right" w:pos="9072" w:leader="none"/>
      </w:tabs>
    </w:pPr>
    <w:rPr/>
  </w:style>
  <w:style w:type="paragraph" w:styleId="NormalWeb">
    <w:name w:val="Normal (Web)"/>
    <w:basedOn w:val="Normal1"/>
    <w:uiPriority w:val="99"/>
    <w:qFormat/>
    <w:pPr>
      <w:spacing w:before="100" w:after="100"/>
    </w:pPr>
    <w:rPr/>
  </w:style>
  <w:style w:type="paragraph" w:styleId="BalloonText">
    <w:name w:val="Balloon Text"/>
    <w:basedOn w:val="Normal1"/>
    <w:qFormat/>
    <w:pPr/>
    <w:rPr>
      <w:rFonts w:ascii="Tahoma" w:hAnsi="Tahoma" w:cs="Tahoma"/>
      <w:sz w:val="16"/>
      <w:szCs w:val="16"/>
    </w:rPr>
  </w:style>
  <w:style w:type="paragraph" w:styleId="Contenudecadre" w:customStyle="1">
    <w:name w:val="Contenu de cadre"/>
    <w:basedOn w:val="Corpsdetexte1"/>
    <w:qFormat/>
    <w:pPr/>
    <w:rPr/>
  </w:style>
  <w:style w:type="paragraph" w:styleId="Titreprincipal" w:customStyle="1">
    <w:name w:val="Title"/>
    <w:basedOn w:val="Normal1"/>
    <w:next w:val="Normal1"/>
    <w:uiPriority w:val="10"/>
    <w:qFormat/>
    <w:rsid w:val="00c36cd6"/>
    <w:pPr>
      <w:pBdr>
        <w:bottom w:val="single" w:sz="8" w:space="4" w:color="4F81BD"/>
      </w:pBdr>
      <w:spacing w:before="0" w:after="300"/>
      <w:contextualSpacing/>
    </w:pPr>
    <w:rPr>
      <w:rFonts w:ascii="Cambria" w:hAnsi="Cambria" w:cs="Mangal"/>
      <w:color w:val="17365D"/>
      <w:spacing w:val="5"/>
      <w:sz w:val="52"/>
      <w:szCs w:val="47"/>
    </w:rPr>
  </w:style>
  <w:style w:type="paragraph" w:styleId="ListParagraph">
    <w:name w:val="List Paragraph"/>
    <w:basedOn w:val="Normal1"/>
    <w:uiPriority w:val="34"/>
    <w:qFormat/>
    <w:rsid w:val="00d32b44"/>
    <w:pPr>
      <w:spacing w:before="0" w:after="0"/>
      <w:ind w:left="720" w:hanging="0"/>
      <w:contextualSpacing/>
    </w:pPr>
    <w:rPr>
      <w:rFonts w:cs="Mangal"/>
      <w:szCs w:val="21"/>
    </w:rPr>
  </w:style>
  <w:style w:type="paragraph" w:styleId="Contenudetableau">
    <w:name w:val="Contenu de tableau"/>
    <w:basedOn w:val="Normal"/>
    <w:qFormat/>
    <w:pPr/>
    <w:rPr/>
  </w:style>
  <w:style w:type="paragraph" w:styleId="Tableau">
    <w:name w:val="Tableau"/>
    <w:basedOn w:val="Lgende"/>
    <w:qFormat/>
    <w:pPr/>
    <w:rPr/>
  </w:style>
  <w:style w:type="paragraph" w:styleId="Titredetableau">
    <w:name w:val="Titre de tableau"/>
    <w:basedOn w:val="Contenudetableau"/>
    <w:qFormat/>
    <w:pPr/>
    <w:rPr/>
  </w:style>
  <w:style w:type="numbering" w:styleId="NoList" w:default="1">
    <w:name w:val="No List"/>
    <w:uiPriority w:val="99"/>
    <w:semiHidden/>
    <w:unhideWhenUsed/>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table" w:styleId="Grilledutableau">
    <w:name w:val="Table Grid"/>
    <w:basedOn w:val="TableauNormal"/>
    <w:uiPriority w:val="59"/>
    <w:rsid w:val="00915c4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wmf"/><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image" Target="media/image9.png"/><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Relationship Id="rId16"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442A4-D662-4BFD-ABD6-C2D167EC41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Application>LibreOffice/5.1.6.2$Linux_X86_64 LibreOffice_project/10m0$Build-2</Application>
  <Pages>5</Pages>
  <Words>1650</Words>
  <Characters>8141</Characters>
  <CharactersWithSpaces>9620</CharactersWithSpaces>
  <Paragraphs>220</Paragraphs>
  <Company>ADEME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2015-08-27T08:49:00Z</dcterms:created>
  <dc:creator>jean marc</dc:creator>
  <dc:description/>
  <dc:language>fr-FR</dc:language>
  <cp:lastModifiedBy/>
  <dcterms:modified xsi:type="dcterms:W3CDTF">2017-08-02T17:28:24Z</dcterms:modified>
  <cp:revision>59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ADEME</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